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DE60D" w14:textId="77777777" w:rsidR="00395F28" w:rsidRDefault="00395F28" w:rsidP="00395F28">
      <w:pPr>
        <w:jc w:val="center"/>
        <w:rPr>
          <w:sz w:val="28"/>
          <w:szCs w:val="28"/>
        </w:rPr>
      </w:pPr>
      <w:bookmarkStart w:id="0" w:name="_GoBack"/>
      <w:bookmarkEnd w:id="0"/>
      <w:r>
        <w:rPr>
          <w:rFonts w:ascii="Arial" w:hAnsi="Arial" w:cs="Arial"/>
          <w:sz w:val="28"/>
          <w:szCs w:val="28"/>
        </w:rPr>
        <w:t>BA (Hons) Audit</w:t>
      </w:r>
    </w:p>
    <w:p w14:paraId="62CF5FE1" w14:textId="77777777" w:rsidR="00395F28" w:rsidRDefault="00395F28" w:rsidP="00395F28">
      <w:pPr>
        <w:jc w:val="center"/>
        <w:rPr>
          <w:b/>
        </w:rPr>
      </w:pPr>
    </w:p>
    <w:p w14:paraId="489E2ECD" w14:textId="77777777" w:rsidR="00395F28" w:rsidRDefault="00395F28" w:rsidP="00395F28">
      <w:pPr>
        <w:rPr>
          <w:rFonts w:ascii="Arial" w:hAnsi="Arial" w:cs="Arial"/>
        </w:rPr>
      </w:pPr>
      <w:r>
        <w:rPr>
          <w:rFonts w:ascii="Arial" w:hAnsi="Arial" w:cs="Arial"/>
        </w:rPr>
        <w:t xml:space="preserve">1. </w:t>
      </w:r>
      <w:r>
        <w:rPr>
          <w:rFonts w:ascii="Arial" w:hAnsi="Arial" w:cs="Arial"/>
        </w:rPr>
        <w:tab/>
        <w:t>Defining the Cohort</w:t>
      </w:r>
      <w:r>
        <w:rPr>
          <w:rFonts w:ascii="Arial" w:hAnsi="Arial" w:cs="Arial"/>
        </w:rPr>
        <w:br/>
      </w:r>
    </w:p>
    <w:p w14:paraId="7776562C" w14:textId="77777777" w:rsidR="00395F28" w:rsidRDefault="002E7E98" w:rsidP="00395F28">
      <w:r>
        <w:t>X has</w:t>
      </w:r>
      <w:r w:rsidR="00395F28">
        <w:t xml:space="preserve"> have about 500 students, with 250 in first year and about 125 in 2</w:t>
      </w:r>
      <w:r w:rsidR="00395F28">
        <w:rPr>
          <w:vertAlign w:val="superscript"/>
        </w:rPr>
        <w:t>nd</w:t>
      </w:r>
      <w:r w:rsidR="00395F28">
        <w:t xml:space="preserve"> and 3rd year. There are 22 full time lecturers and many fractional staff and teaching assistants. In the first year, large lectures are given by full time academics and all seminars are led by teaching assistants, mainly PhDs. The student demographic is mainly local, with 60% of the cohort white male, 40% from ethnic minorities, about 10-12% international, including EU students. </w:t>
      </w:r>
      <w:r>
        <w:t xml:space="preserve">Y </w:t>
      </w:r>
      <w:r w:rsidR="00395F28">
        <w:t xml:space="preserve">offers a pre-entry foundation year, mainly for EU and international students, from which some students </w:t>
      </w:r>
      <w:r>
        <w:t>continue at Y</w:t>
      </w:r>
      <w:r w:rsidR="00395F28">
        <w:t xml:space="preserve"> while others enter different UK univ</w:t>
      </w:r>
      <w:r>
        <w:t xml:space="preserve">ersities. Student entry </w:t>
      </w:r>
      <w:r w:rsidR="00395F28">
        <w:t xml:space="preserve">currently requires the equivalent of two Bs and one A, but will be shifting upwards to two As and one B in the next year. </w:t>
      </w:r>
      <w:r w:rsidR="00395F28">
        <w:br/>
      </w:r>
    </w:p>
    <w:p w14:paraId="11D4BED0" w14:textId="77777777" w:rsidR="00395F28" w:rsidRDefault="00395F28" w:rsidP="00395F28">
      <w:r>
        <w:t>Degree classifications are derived from 1/7 of the 1</w:t>
      </w:r>
      <w:r>
        <w:rPr>
          <w:vertAlign w:val="superscript"/>
        </w:rPr>
        <w:t>st</w:t>
      </w:r>
      <w:r>
        <w:t xml:space="preserve"> year aggregate; 2/7 of the 2</w:t>
      </w:r>
      <w:r>
        <w:rPr>
          <w:vertAlign w:val="superscript"/>
        </w:rPr>
        <w:t>nd</w:t>
      </w:r>
      <w:r>
        <w:t xml:space="preserve"> year aggregate, and 4/7 of the final year total. In order get the degree award, students must have taken modules to the value of 360 credit points, passing modules to the value of 270 credits, with at least 90 credits at level 6 and no more than 150 credit points at level 4. Figure 1 represents the typical experience of a single honours </w:t>
      </w:r>
      <w:r w:rsidR="002E7E98">
        <w:t>X</w:t>
      </w:r>
      <w:r>
        <w:t xml:space="preserve"> student with shading for compulsory modules, and credit weightings reflected. </w:t>
      </w:r>
    </w:p>
    <w:p w14:paraId="29A8E989" w14:textId="77777777" w:rsidR="00395F28" w:rsidRDefault="00395F28" w:rsidP="00395F28">
      <w:r>
        <w:t xml:space="preserve"> </w:t>
      </w:r>
    </w:p>
    <w:p w14:paraId="5013FA8B" w14:textId="77777777" w:rsidR="00395F28" w:rsidRDefault="00395F28" w:rsidP="00395F28">
      <w:pPr>
        <w:rPr>
          <w:rFonts w:ascii="Arial" w:hAnsi="Arial" w:cs="Arial"/>
          <w:i/>
          <w:sz w:val="22"/>
          <w:szCs w:val="22"/>
        </w:rPr>
      </w:pPr>
      <w:r>
        <w:rPr>
          <w:rFonts w:ascii="Arial" w:hAnsi="Arial" w:cs="Arial"/>
          <w:i/>
          <w:sz w:val="22"/>
          <w:szCs w:val="22"/>
        </w:rPr>
        <w:t>Figure 1: Overall degree structure and credit weightings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894"/>
        <w:gridCol w:w="1894"/>
        <w:gridCol w:w="947"/>
        <w:gridCol w:w="947"/>
        <w:gridCol w:w="947"/>
        <w:gridCol w:w="947"/>
      </w:tblGrid>
      <w:tr w:rsidR="00395F28" w14:paraId="3B50CC01" w14:textId="77777777" w:rsidTr="00395F28">
        <w:tc>
          <w:tcPr>
            <w:tcW w:w="946" w:type="dxa"/>
            <w:tcBorders>
              <w:top w:val="single" w:sz="4" w:space="0" w:color="auto"/>
              <w:left w:val="single" w:sz="4" w:space="0" w:color="auto"/>
              <w:bottom w:val="single" w:sz="4" w:space="0" w:color="auto"/>
              <w:right w:val="single" w:sz="4" w:space="0" w:color="auto"/>
            </w:tcBorders>
            <w:hideMark/>
          </w:tcPr>
          <w:p w14:paraId="297F952B" w14:textId="77777777" w:rsidR="00395F28" w:rsidRDefault="00395F28">
            <w:r>
              <w:t>Year</w:t>
            </w:r>
          </w:p>
        </w:tc>
        <w:tc>
          <w:tcPr>
            <w:tcW w:w="7576" w:type="dxa"/>
            <w:gridSpan w:val="6"/>
            <w:tcBorders>
              <w:top w:val="single" w:sz="4" w:space="0" w:color="auto"/>
              <w:left w:val="single" w:sz="4" w:space="0" w:color="auto"/>
              <w:bottom w:val="single" w:sz="4" w:space="0" w:color="auto"/>
              <w:right w:val="single" w:sz="4" w:space="0" w:color="auto"/>
            </w:tcBorders>
            <w:hideMark/>
          </w:tcPr>
          <w:p w14:paraId="1E8A50F7" w14:textId="77777777" w:rsidR="00395F28" w:rsidRDefault="00395F28">
            <w:pPr>
              <w:jc w:val="center"/>
            </w:pPr>
            <w:r>
              <w:t>Modules</w:t>
            </w:r>
          </w:p>
        </w:tc>
      </w:tr>
      <w:tr w:rsidR="00395F28" w14:paraId="184A964F" w14:textId="77777777" w:rsidTr="00395F28">
        <w:tc>
          <w:tcPr>
            <w:tcW w:w="946" w:type="dxa"/>
            <w:tcBorders>
              <w:top w:val="single" w:sz="4" w:space="0" w:color="auto"/>
              <w:left w:val="single" w:sz="4" w:space="0" w:color="auto"/>
              <w:bottom w:val="single" w:sz="4" w:space="0" w:color="auto"/>
              <w:right w:val="single" w:sz="4" w:space="0" w:color="auto"/>
            </w:tcBorders>
            <w:hideMark/>
          </w:tcPr>
          <w:p w14:paraId="25AF05A7" w14:textId="77777777" w:rsidR="00395F28" w:rsidRDefault="00395F28">
            <w:r>
              <w:t>Year 1</w:t>
            </w:r>
          </w:p>
        </w:tc>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46788F7D" w14:textId="77777777" w:rsidR="00395F28" w:rsidRDefault="00395F28">
            <w:pPr>
              <w:jc w:val="center"/>
            </w:pPr>
            <w:r>
              <w:t>30</w:t>
            </w:r>
          </w:p>
        </w:tc>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1A25949D" w14:textId="77777777" w:rsidR="00395F28" w:rsidRDefault="00395F28">
            <w:pPr>
              <w:jc w:val="center"/>
            </w:pPr>
            <w:r>
              <w:t>30</w:t>
            </w:r>
          </w:p>
        </w:tc>
        <w:tc>
          <w:tcPr>
            <w:tcW w:w="18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C31B96" w14:textId="77777777" w:rsidR="00395F28" w:rsidRDefault="00395F28">
            <w:pPr>
              <w:jc w:val="center"/>
            </w:pPr>
            <w:r>
              <w:t>30</w:t>
            </w:r>
          </w:p>
        </w:tc>
        <w:tc>
          <w:tcPr>
            <w:tcW w:w="1894" w:type="dxa"/>
            <w:gridSpan w:val="2"/>
            <w:tcBorders>
              <w:top w:val="single" w:sz="4" w:space="0" w:color="auto"/>
              <w:left w:val="single" w:sz="4" w:space="0" w:color="auto"/>
              <w:bottom w:val="single" w:sz="4" w:space="0" w:color="auto"/>
              <w:right w:val="single" w:sz="4" w:space="0" w:color="auto"/>
            </w:tcBorders>
            <w:hideMark/>
          </w:tcPr>
          <w:p w14:paraId="0E060716" w14:textId="77777777" w:rsidR="00395F28" w:rsidRDefault="00395F28">
            <w:pPr>
              <w:jc w:val="center"/>
            </w:pPr>
            <w:r>
              <w:t>30</w:t>
            </w:r>
          </w:p>
        </w:tc>
      </w:tr>
      <w:tr w:rsidR="00395F28" w14:paraId="41FC9485" w14:textId="77777777" w:rsidTr="00395F28">
        <w:tc>
          <w:tcPr>
            <w:tcW w:w="946" w:type="dxa"/>
            <w:tcBorders>
              <w:top w:val="single" w:sz="4" w:space="0" w:color="auto"/>
              <w:left w:val="single" w:sz="4" w:space="0" w:color="auto"/>
              <w:bottom w:val="single" w:sz="4" w:space="0" w:color="auto"/>
              <w:right w:val="single" w:sz="4" w:space="0" w:color="auto"/>
            </w:tcBorders>
            <w:hideMark/>
          </w:tcPr>
          <w:p w14:paraId="00751AD6" w14:textId="77777777" w:rsidR="00395F28" w:rsidRDefault="00395F28">
            <w:r>
              <w:t>Year 2</w:t>
            </w:r>
          </w:p>
        </w:tc>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279337D2" w14:textId="77777777" w:rsidR="00395F28" w:rsidRDefault="00395F28">
            <w:pPr>
              <w:jc w:val="center"/>
            </w:pPr>
            <w:r>
              <w:t>30</w:t>
            </w:r>
          </w:p>
        </w:tc>
        <w:tc>
          <w:tcPr>
            <w:tcW w:w="1894" w:type="dxa"/>
            <w:tcBorders>
              <w:top w:val="single" w:sz="4" w:space="0" w:color="auto"/>
              <w:left w:val="single" w:sz="4" w:space="0" w:color="auto"/>
              <w:bottom w:val="single" w:sz="4" w:space="0" w:color="auto"/>
              <w:right w:val="single" w:sz="4" w:space="0" w:color="auto"/>
            </w:tcBorders>
            <w:hideMark/>
          </w:tcPr>
          <w:p w14:paraId="55D12FFB" w14:textId="77777777" w:rsidR="00395F28" w:rsidRDefault="00395F28">
            <w:pPr>
              <w:jc w:val="center"/>
            </w:pPr>
            <w:r>
              <w:t>30</w:t>
            </w:r>
          </w:p>
        </w:tc>
        <w:tc>
          <w:tcPr>
            <w:tcW w:w="1894" w:type="dxa"/>
            <w:gridSpan w:val="2"/>
            <w:tcBorders>
              <w:top w:val="single" w:sz="4" w:space="0" w:color="auto"/>
              <w:left w:val="single" w:sz="4" w:space="0" w:color="auto"/>
              <w:bottom w:val="single" w:sz="4" w:space="0" w:color="auto"/>
              <w:right w:val="single" w:sz="4" w:space="0" w:color="auto"/>
            </w:tcBorders>
            <w:hideMark/>
          </w:tcPr>
          <w:p w14:paraId="552A9A78" w14:textId="77777777" w:rsidR="00395F28" w:rsidRDefault="00395F28">
            <w:pPr>
              <w:jc w:val="center"/>
            </w:pPr>
            <w:r>
              <w:t>30</w:t>
            </w:r>
          </w:p>
        </w:tc>
        <w:tc>
          <w:tcPr>
            <w:tcW w:w="1894" w:type="dxa"/>
            <w:gridSpan w:val="2"/>
            <w:tcBorders>
              <w:top w:val="single" w:sz="4" w:space="0" w:color="auto"/>
              <w:left w:val="single" w:sz="4" w:space="0" w:color="auto"/>
              <w:bottom w:val="single" w:sz="4" w:space="0" w:color="auto"/>
              <w:right w:val="single" w:sz="4" w:space="0" w:color="auto"/>
            </w:tcBorders>
            <w:hideMark/>
          </w:tcPr>
          <w:p w14:paraId="5E74CD80" w14:textId="77777777" w:rsidR="00395F28" w:rsidRDefault="00395F28">
            <w:pPr>
              <w:jc w:val="center"/>
            </w:pPr>
            <w:r>
              <w:t>30</w:t>
            </w:r>
          </w:p>
        </w:tc>
      </w:tr>
      <w:tr w:rsidR="00395F28" w14:paraId="581E5062" w14:textId="77777777" w:rsidTr="00395F28">
        <w:tc>
          <w:tcPr>
            <w:tcW w:w="946" w:type="dxa"/>
            <w:tcBorders>
              <w:top w:val="single" w:sz="4" w:space="0" w:color="auto"/>
              <w:left w:val="single" w:sz="4" w:space="0" w:color="auto"/>
              <w:bottom w:val="single" w:sz="4" w:space="0" w:color="auto"/>
              <w:right w:val="single" w:sz="4" w:space="0" w:color="auto"/>
            </w:tcBorders>
            <w:hideMark/>
          </w:tcPr>
          <w:p w14:paraId="11DA972C" w14:textId="77777777" w:rsidR="00395F28" w:rsidRDefault="00395F28">
            <w:r>
              <w:t>Year 3</w:t>
            </w:r>
          </w:p>
        </w:tc>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09E63932" w14:textId="77777777" w:rsidR="00395F28" w:rsidRDefault="00395F28">
            <w:pPr>
              <w:jc w:val="center"/>
            </w:pPr>
            <w:r>
              <w:t>30</w:t>
            </w:r>
          </w:p>
        </w:tc>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602CEE35" w14:textId="77777777" w:rsidR="00395F28" w:rsidRDefault="00395F28">
            <w:pPr>
              <w:jc w:val="center"/>
            </w:pPr>
            <w:r>
              <w:t>30</w:t>
            </w:r>
          </w:p>
        </w:tc>
        <w:tc>
          <w:tcPr>
            <w:tcW w:w="947" w:type="dxa"/>
            <w:tcBorders>
              <w:top w:val="single" w:sz="4" w:space="0" w:color="auto"/>
              <w:left w:val="single" w:sz="4" w:space="0" w:color="auto"/>
              <w:bottom w:val="single" w:sz="4" w:space="0" w:color="auto"/>
              <w:right w:val="single" w:sz="4" w:space="0" w:color="auto"/>
            </w:tcBorders>
            <w:hideMark/>
          </w:tcPr>
          <w:p w14:paraId="36BB4630" w14:textId="77777777" w:rsidR="00395F28" w:rsidRDefault="00395F28">
            <w:pPr>
              <w:jc w:val="center"/>
            </w:pPr>
            <w:r>
              <w:t>15</w:t>
            </w:r>
          </w:p>
        </w:tc>
        <w:tc>
          <w:tcPr>
            <w:tcW w:w="947" w:type="dxa"/>
            <w:tcBorders>
              <w:top w:val="single" w:sz="4" w:space="0" w:color="auto"/>
              <w:left w:val="single" w:sz="4" w:space="0" w:color="auto"/>
              <w:bottom w:val="single" w:sz="4" w:space="0" w:color="auto"/>
              <w:right w:val="single" w:sz="4" w:space="0" w:color="auto"/>
            </w:tcBorders>
            <w:hideMark/>
          </w:tcPr>
          <w:p w14:paraId="49807E99" w14:textId="77777777" w:rsidR="00395F28" w:rsidRDefault="00395F28">
            <w:pPr>
              <w:jc w:val="center"/>
            </w:pPr>
            <w:r>
              <w:t>15</w:t>
            </w:r>
          </w:p>
        </w:tc>
        <w:tc>
          <w:tcPr>
            <w:tcW w:w="947" w:type="dxa"/>
            <w:tcBorders>
              <w:top w:val="single" w:sz="4" w:space="0" w:color="auto"/>
              <w:left w:val="single" w:sz="4" w:space="0" w:color="auto"/>
              <w:bottom w:val="single" w:sz="4" w:space="0" w:color="auto"/>
              <w:right w:val="single" w:sz="4" w:space="0" w:color="auto"/>
            </w:tcBorders>
            <w:hideMark/>
          </w:tcPr>
          <w:p w14:paraId="61858148" w14:textId="77777777" w:rsidR="00395F28" w:rsidRDefault="00395F28">
            <w:pPr>
              <w:jc w:val="center"/>
            </w:pPr>
            <w:r>
              <w:t>15</w:t>
            </w:r>
          </w:p>
        </w:tc>
        <w:tc>
          <w:tcPr>
            <w:tcW w:w="947" w:type="dxa"/>
            <w:tcBorders>
              <w:top w:val="single" w:sz="4" w:space="0" w:color="auto"/>
              <w:left w:val="single" w:sz="4" w:space="0" w:color="auto"/>
              <w:bottom w:val="single" w:sz="4" w:space="0" w:color="auto"/>
              <w:right w:val="single" w:sz="4" w:space="0" w:color="auto"/>
            </w:tcBorders>
            <w:hideMark/>
          </w:tcPr>
          <w:p w14:paraId="59BD8EDB" w14:textId="77777777" w:rsidR="00395F28" w:rsidRDefault="00395F28">
            <w:pPr>
              <w:jc w:val="center"/>
            </w:pPr>
            <w:r>
              <w:t>15</w:t>
            </w:r>
          </w:p>
        </w:tc>
      </w:tr>
    </w:tbl>
    <w:p w14:paraId="1DFE9DDD" w14:textId="77777777" w:rsidR="00395F28" w:rsidRDefault="00395F28" w:rsidP="00395F28"/>
    <w:p w14:paraId="4BFAEE18" w14:textId="77777777" w:rsidR="00395F28" w:rsidRDefault="00395F28" w:rsidP="00395F28">
      <w:pPr>
        <w:rPr>
          <w:rFonts w:ascii="Arial" w:hAnsi="Arial" w:cs="Arial"/>
        </w:rPr>
      </w:pPr>
      <w:r>
        <w:rPr>
          <w:rFonts w:ascii="Arial" w:hAnsi="Arial" w:cs="Arial"/>
        </w:rPr>
        <w:t xml:space="preserve">2. </w:t>
      </w:r>
      <w:r>
        <w:rPr>
          <w:rFonts w:ascii="Arial" w:hAnsi="Arial" w:cs="Arial"/>
        </w:rPr>
        <w:tab/>
        <w:t xml:space="preserve">Summary categorisation of assessment </w:t>
      </w:r>
    </w:p>
    <w:p w14:paraId="748CDB25" w14:textId="77777777" w:rsidR="00395F28" w:rsidRDefault="00395F28" w:rsidP="00395F28"/>
    <w:p w14:paraId="5ABFFEC5" w14:textId="77777777" w:rsidR="00395F28" w:rsidRDefault="00395F28" w:rsidP="00395F28">
      <w:r>
        <w:t>Volume of assessment: 52</w:t>
      </w:r>
    </w:p>
    <w:p w14:paraId="129DADCD" w14:textId="77777777" w:rsidR="00395F28" w:rsidRDefault="00395F28" w:rsidP="00395F28">
      <w:r>
        <w:t>Volume of summative assessment: 49</w:t>
      </w:r>
    </w:p>
    <w:p w14:paraId="462149F8" w14:textId="77777777" w:rsidR="00395F28" w:rsidRDefault="00395F28" w:rsidP="00395F28">
      <w:r>
        <w:t>Volume of formative only assessment: 3</w:t>
      </w:r>
    </w:p>
    <w:p w14:paraId="061F874A" w14:textId="77777777" w:rsidR="00395F28" w:rsidRDefault="00395F28" w:rsidP="00395F28">
      <w:r>
        <w:t>Variety of assessment methods: 13</w:t>
      </w:r>
    </w:p>
    <w:p w14:paraId="0295CD58" w14:textId="77777777" w:rsidR="00395F28" w:rsidRDefault="00395F28" w:rsidP="00395F28">
      <w:r>
        <w:t>Percentage from examinations: 26.5% (13/49)</w:t>
      </w:r>
    </w:p>
    <w:p w14:paraId="47F369EE" w14:textId="77777777" w:rsidR="00395F28" w:rsidRDefault="00395F28" w:rsidP="00395F28">
      <w:r>
        <w:t>Timeliness: 14 days</w:t>
      </w:r>
    </w:p>
    <w:p w14:paraId="6033BBCF" w14:textId="77777777" w:rsidR="00395F28" w:rsidRDefault="00395F28" w:rsidP="00395F28">
      <w:r>
        <w:t>Volume of oral feedback: 58.5 minutes</w:t>
      </w:r>
      <w:r>
        <w:rPr>
          <w:rStyle w:val="FootnoteReference"/>
        </w:rPr>
        <w:footnoteReference w:id="1"/>
      </w:r>
      <w:r>
        <w:br/>
        <w:t xml:space="preserve">Volume of written feedback: 7527 words </w:t>
      </w:r>
    </w:p>
    <w:p w14:paraId="3BB8D7B4" w14:textId="77777777" w:rsidR="00395F28" w:rsidRDefault="00395F28" w:rsidP="00395F28"/>
    <w:p w14:paraId="3D37F69F" w14:textId="77777777" w:rsidR="00395F28" w:rsidRDefault="00395F28" w:rsidP="00395F28">
      <w:pPr>
        <w:rPr>
          <w:rFonts w:ascii="Arial" w:hAnsi="Arial" w:cs="Arial"/>
          <w:i/>
          <w:sz w:val="22"/>
          <w:szCs w:val="22"/>
        </w:rPr>
      </w:pPr>
      <w:r>
        <w:lastRenderedPageBreak/>
        <w:t xml:space="preserve">Figure 2 below represents the audit data split by year/levels. </w:t>
      </w:r>
      <w:r>
        <w:br/>
      </w:r>
      <w:r>
        <w:br/>
      </w:r>
      <w:r>
        <w:rPr>
          <w:rFonts w:ascii="Arial" w:hAnsi="Arial" w:cs="Arial"/>
          <w:i/>
          <w:sz w:val="22"/>
          <w:szCs w:val="22"/>
        </w:rPr>
        <w:t xml:space="preserve">Figure 2: Key audit features by year </w:t>
      </w:r>
      <w:r>
        <w:rPr>
          <w:rStyle w:val="FootnoteReference"/>
          <w:rFonts w:ascii="Arial" w:hAnsi="Arial" w:cs="Arial"/>
          <w:i/>
          <w:sz w:val="22"/>
          <w:szCs w:val="22"/>
        </w:rPr>
        <w:footnoteReference w:id="2"/>
      </w:r>
    </w:p>
    <w:tbl>
      <w:tblPr>
        <w:tblpPr w:leftFromText="180" w:rightFromText="180" w:vertAnchor="text" w:horzAnchor="margin" w:tblpY="94"/>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8"/>
        <w:gridCol w:w="568"/>
        <w:gridCol w:w="568"/>
        <w:gridCol w:w="425"/>
        <w:gridCol w:w="851"/>
        <w:gridCol w:w="994"/>
        <w:gridCol w:w="851"/>
        <w:gridCol w:w="710"/>
      </w:tblGrid>
      <w:tr w:rsidR="00395F28" w14:paraId="591D0C39" w14:textId="77777777" w:rsidTr="00395F28">
        <w:trPr>
          <w:cantSplit/>
          <w:trHeight w:val="1698"/>
        </w:trPr>
        <w:tc>
          <w:tcPr>
            <w:tcW w:w="675" w:type="dxa"/>
            <w:tcBorders>
              <w:top w:val="single" w:sz="4" w:space="0" w:color="auto"/>
              <w:left w:val="single" w:sz="4" w:space="0" w:color="auto"/>
              <w:bottom w:val="single" w:sz="4" w:space="0" w:color="auto"/>
              <w:right w:val="single" w:sz="4" w:space="0" w:color="auto"/>
            </w:tcBorders>
            <w:textDirection w:val="tbRl"/>
            <w:vAlign w:val="center"/>
            <w:hideMark/>
          </w:tcPr>
          <w:p w14:paraId="26FD109F" w14:textId="77777777" w:rsidR="00395F28" w:rsidRDefault="00395F28">
            <w:pPr>
              <w:ind w:left="113" w:right="113"/>
              <w:jc w:val="center"/>
              <w:rPr>
                <w:rFonts w:ascii="Arial" w:hAnsi="Arial" w:cs="Arial"/>
                <w:b/>
              </w:rPr>
            </w:pPr>
            <w:r>
              <w:rPr>
                <w:rFonts w:ascii="Arial" w:hAnsi="Arial" w:cs="Arial"/>
                <w:b/>
              </w:rPr>
              <w:t>Level</w:t>
            </w:r>
          </w:p>
        </w:tc>
        <w:tc>
          <w:tcPr>
            <w:tcW w:w="2127" w:type="dxa"/>
            <w:tcBorders>
              <w:top w:val="single" w:sz="4" w:space="0" w:color="auto"/>
              <w:left w:val="single" w:sz="4" w:space="0" w:color="auto"/>
              <w:bottom w:val="single" w:sz="4" w:space="0" w:color="auto"/>
              <w:right w:val="single" w:sz="4" w:space="0" w:color="auto"/>
            </w:tcBorders>
            <w:textDirection w:val="tbRl"/>
            <w:vAlign w:val="center"/>
            <w:hideMark/>
          </w:tcPr>
          <w:p w14:paraId="55737BF4" w14:textId="77777777" w:rsidR="00395F28" w:rsidRDefault="00395F28">
            <w:pPr>
              <w:ind w:left="113" w:right="113"/>
              <w:jc w:val="center"/>
              <w:rPr>
                <w:rFonts w:ascii="Arial" w:hAnsi="Arial" w:cs="Arial"/>
                <w:b/>
              </w:rPr>
            </w:pPr>
            <w:r>
              <w:rPr>
                <w:rFonts w:ascii="Arial" w:hAnsi="Arial" w:cs="Arial"/>
                <w:b/>
              </w:rPr>
              <w:t>Types of assessment</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14:paraId="4A671176" w14:textId="77777777" w:rsidR="00395F28" w:rsidRDefault="00395F28">
            <w:pPr>
              <w:ind w:left="113" w:right="113"/>
              <w:jc w:val="center"/>
              <w:rPr>
                <w:rFonts w:ascii="Arial" w:hAnsi="Arial" w:cs="Arial"/>
                <w:b/>
              </w:rPr>
            </w:pPr>
            <w:r>
              <w:rPr>
                <w:rFonts w:ascii="Arial" w:hAnsi="Arial" w:cs="Arial"/>
                <w:b/>
              </w:rPr>
              <w:t>Varieties</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14:paraId="6F15C331" w14:textId="77777777" w:rsidR="00395F28" w:rsidRDefault="00395F28">
            <w:pPr>
              <w:ind w:left="113" w:right="113"/>
              <w:jc w:val="center"/>
              <w:rPr>
                <w:rFonts w:ascii="Arial" w:hAnsi="Arial" w:cs="Arial"/>
                <w:b/>
              </w:rPr>
            </w:pPr>
            <w:r>
              <w:rPr>
                <w:rFonts w:ascii="Arial" w:hAnsi="Arial" w:cs="Arial"/>
                <w:b/>
              </w:rPr>
              <w:t>Summative</w:t>
            </w:r>
          </w:p>
        </w:tc>
        <w:tc>
          <w:tcPr>
            <w:tcW w:w="425" w:type="dxa"/>
            <w:tcBorders>
              <w:top w:val="single" w:sz="4" w:space="0" w:color="auto"/>
              <w:left w:val="single" w:sz="4" w:space="0" w:color="auto"/>
              <w:bottom w:val="single" w:sz="4" w:space="0" w:color="auto"/>
              <w:right w:val="single" w:sz="4" w:space="0" w:color="auto"/>
            </w:tcBorders>
            <w:textDirection w:val="tbRl"/>
            <w:vAlign w:val="center"/>
            <w:hideMark/>
          </w:tcPr>
          <w:p w14:paraId="30EE1B26" w14:textId="77777777" w:rsidR="00395F28" w:rsidRDefault="00395F28">
            <w:pPr>
              <w:ind w:left="113" w:right="113"/>
              <w:jc w:val="center"/>
              <w:rPr>
                <w:rFonts w:ascii="Arial" w:hAnsi="Arial" w:cs="Arial"/>
                <w:b/>
              </w:rPr>
            </w:pPr>
            <w:r>
              <w:rPr>
                <w:rFonts w:ascii="Arial" w:hAnsi="Arial" w:cs="Arial"/>
                <w:b/>
              </w:rPr>
              <w:t>Formative</w:t>
            </w:r>
          </w:p>
        </w:tc>
        <w:tc>
          <w:tcPr>
            <w:tcW w:w="850" w:type="dxa"/>
            <w:tcBorders>
              <w:top w:val="single" w:sz="4" w:space="0" w:color="auto"/>
              <w:left w:val="single" w:sz="4" w:space="0" w:color="auto"/>
              <w:bottom w:val="single" w:sz="4" w:space="0" w:color="auto"/>
              <w:right w:val="single" w:sz="4" w:space="0" w:color="auto"/>
            </w:tcBorders>
            <w:textDirection w:val="tbRl"/>
            <w:vAlign w:val="center"/>
            <w:hideMark/>
          </w:tcPr>
          <w:p w14:paraId="39944D75" w14:textId="77777777" w:rsidR="00395F28" w:rsidRDefault="00395F28">
            <w:pPr>
              <w:ind w:left="113" w:right="113"/>
              <w:jc w:val="center"/>
              <w:rPr>
                <w:rFonts w:ascii="Arial" w:hAnsi="Arial" w:cs="Arial"/>
                <w:b/>
              </w:rPr>
            </w:pPr>
            <w:r>
              <w:rPr>
                <w:rFonts w:ascii="Arial" w:hAnsi="Arial" w:cs="Arial"/>
                <w:b/>
              </w:rPr>
              <w:t>Exams</w:t>
            </w:r>
          </w:p>
        </w:tc>
        <w:tc>
          <w:tcPr>
            <w:tcW w:w="993" w:type="dxa"/>
            <w:tcBorders>
              <w:top w:val="single" w:sz="4" w:space="0" w:color="auto"/>
              <w:left w:val="single" w:sz="4" w:space="0" w:color="auto"/>
              <w:bottom w:val="single" w:sz="4" w:space="0" w:color="auto"/>
              <w:right w:val="single" w:sz="4" w:space="0" w:color="auto"/>
            </w:tcBorders>
            <w:textDirection w:val="tbRl"/>
            <w:vAlign w:val="center"/>
          </w:tcPr>
          <w:p w14:paraId="096C5461" w14:textId="77777777" w:rsidR="00395F28" w:rsidRDefault="00395F28">
            <w:pPr>
              <w:ind w:left="113" w:right="113"/>
              <w:jc w:val="center"/>
              <w:rPr>
                <w:rFonts w:ascii="Arial" w:hAnsi="Arial" w:cs="Arial"/>
                <w:b/>
              </w:rPr>
            </w:pPr>
            <w:r>
              <w:rPr>
                <w:rFonts w:ascii="Arial" w:hAnsi="Arial" w:cs="Arial"/>
                <w:b/>
              </w:rPr>
              <w:t>Oral Feedback</w:t>
            </w:r>
          </w:p>
          <w:p w14:paraId="1BEDBCAC" w14:textId="77777777" w:rsidR="00395F28" w:rsidRDefault="00395F28">
            <w:pPr>
              <w:ind w:left="113" w:right="113"/>
              <w:jc w:val="cente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extDirection w:val="tbRl"/>
            <w:vAlign w:val="center"/>
            <w:hideMark/>
          </w:tcPr>
          <w:p w14:paraId="0A6BC524" w14:textId="77777777" w:rsidR="00395F28" w:rsidRDefault="00395F28">
            <w:pPr>
              <w:ind w:left="113" w:right="113"/>
              <w:jc w:val="center"/>
              <w:rPr>
                <w:rFonts w:ascii="Arial" w:hAnsi="Arial" w:cs="Arial"/>
                <w:b/>
              </w:rPr>
            </w:pPr>
            <w:r>
              <w:rPr>
                <w:rFonts w:ascii="Arial" w:hAnsi="Arial" w:cs="Arial"/>
                <w:b/>
              </w:rPr>
              <w:t>Written Feedback</w:t>
            </w:r>
          </w:p>
        </w:tc>
        <w:tc>
          <w:tcPr>
            <w:tcW w:w="709" w:type="dxa"/>
            <w:tcBorders>
              <w:top w:val="single" w:sz="4" w:space="0" w:color="auto"/>
              <w:left w:val="single" w:sz="4" w:space="0" w:color="auto"/>
              <w:bottom w:val="single" w:sz="4" w:space="0" w:color="auto"/>
              <w:right w:val="single" w:sz="4" w:space="0" w:color="auto"/>
            </w:tcBorders>
            <w:textDirection w:val="tbRl"/>
            <w:vAlign w:val="center"/>
            <w:hideMark/>
          </w:tcPr>
          <w:p w14:paraId="6376A176" w14:textId="77777777" w:rsidR="00395F28" w:rsidRDefault="00395F28">
            <w:pPr>
              <w:ind w:left="113" w:right="113"/>
              <w:jc w:val="center"/>
              <w:rPr>
                <w:rFonts w:ascii="Arial" w:hAnsi="Arial" w:cs="Arial"/>
                <w:b/>
              </w:rPr>
            </w:pPr>
            <w:r>
              <w:rPr>
                <w:rFonts w:ascii="Arial" w:hAnsi="Arial" w:cs="Arial"/>
                <w:b/>
              </w:rPr>
              <w:t>Return times</w:t>
            </w:r>
          </w:p>
        </w:tc>
      </w:tr>
      <w:tr w:rsidR="00395F28" w14:paraId="09F850A3" w14:textId="77777777" w:rsidTr="00395F28">
        <w:trPr>
          <w:trHeight w:val="1989"/>
        </w:trPr>
        <w:tc>
          <w:tcPr>
            <w:tcW w:w="675" w:type="dxa"/>
            <w:tcBorders>
              <w:top w:val="single" w:sz="4" w:space="0" w:color="auto"/>
              <w:left w:val="single" w:sz="4" w:space="0" w:color="auto"/>
              <w:bottom w:val="single" w:sz="4" w:space="0" w:color="auto"/>
              <w:right w:val="single" w:sz="4" w:space="0" w:color="auto"/>
            </w:tcBorders>
            <w:hideMark/>
          </w:tcPr>
          <w:p w14:paraId="4A6AD72D" w14:textId="77777777" w:rsidR="00395F28" w:rsidRDefault="00395F28">
            <w:r>
              <w:t>4</w:t>
            </w:r>
          </w:p>
        </w:tc>
        <w:tc>
          <w:tcPr>
            <w:tcW w:w="2127" w:type="dxa"/>
            <w:tcBorders>
              <w:top w:val="single" w:sz="4" w:space="0" w:color="auto"/>
              <w:left w:val="single" w:sz="4" w:space="0" w:color="auto"/>
              <w:bottom w:val="single" w:sz="4" w:space="0" w:color="auto"/>
              <w:right w:val="single" w:sz="4" w:space="0" w:color="auto"/>
            </w:tcBorders>
            <w:hideMark/>
          </w:tcPr>
          <w:p w14:paraId="7FCDA579" w14:textId="77777777" w:rsidR="00395F28" w:rsidRDefault="00395F28">
            <w:r>
              <w:t>Exams; literature review; essays + abstract; critical analysis of research paper; annotated bibliography; quantitative data analysis; diagnostic/ formative draft-redraft essay.</w:t>
            </w:r>
            <w:r>
              <w:br/>
            </w:r>
          </w:p>
        </w:tc>
        <w:tc>
          <w:tcPr>
            <w:tcW w:w="567" w:type="dxa"/>
            <w:tcBorders>
              <w:top w:val="single" w:sz="4" w:space="0" w:color="auto"/>
              <w:left w:val="single" w:sz="4" w:space="0" w:color="auto"/>
              <w:bottom w:val="single" w:sz="4" w:space="0" w:color="auto"/>
              <w:right w:val="single" w:sz="4" w:space="0" w:color="auto"/>
            </w:tcBorders>
            <w:hideMark/>
          </w:tcPr>
          <w:p w14:paraId="0F5201C7" w14:textId="77777777" w:rsidR="00395F28" w:rsidRDefault="00395F28">
            <w:pPr>
              <w:jc w:val="center"/>
            </w:pPr>
            <w:r>
              <w:t>7</w:t>
            </w:r>
          </w:p>
        </w:tc>
        <w:tc>
          <w:tcPr>
            <w:tcW w:w="567" w:type="dxa"/>
            <w:tcBorders>
              <w:top w:val="single" w:sz="4" w:space="0" w:color="auto"/>
              <w:left w:val="single" w:sz="4" w:space="0" w:color="auto"/>
              <w:bottom w:val="single" w:sz="4" w:space="0" w:color="auto"/>
              <w:right w:val="single" w:sz="4" w:space="0" w:color="auto"/>
            </w:tcBorders>
            <w:hideMark/>
          </w:tcPr>
          <w:p w14:paraId="581AFBA5" w14:textId="77777777" w:rsidR="00395F28" w:rsidRDefault="00395F28">
            <w:pPr>
              <w:jc w:val="center"/>
            </w:pPr>
            <w:r>
              <w:t>18</w:t>
            </w:r>
          </w:p>
        </w:tc>
        <w:tc>
          <w:tcPr>
            <w:tcW w:w="425" w:type="dxa"/>
            <w:tcBorders>
              <w:top w:val="single" w:sz="4" w:space="0" w:color="auto"/>
              <w:left w:val="single" w:sz="4" w:space="0" w:color="auto"/>
              <w:bottom w:val="single" w:sz="4" w:space="0" w:color="auto"/>
              <w:right w:val="single" w:sz="4" w:space="0" w:color="auto"/>
            </w:tcBorders>
            <w:hideMark/>
          </w:tcPr>
          <w:p w14:paraId="1E34C64E" w14:textId="77777777" w:rsidR="00395F28" w:rsidRDefault="00395F28">
            <w:pPr>
              <w:jc w:val="center"/>
            </w:pPr>
            <w:r>
              <w:t>2</w:t>
            </w:r>
          </w:p>
        </w:tc>
        <w:tc>
          <w:tcPr>
            <w:tcW w:w="850" w:type="dxa"/>
            <w:tcBorders>
              <w:top w:val="single" w:sz="4" w:space="0" w:color="auto"/>
              <w:left w:val="single" w:sz="4" w:space="0" w:color="auto"/>
              <w:bottom w:val="single" w:sz="4" w:space="0" w:color="auto"/>
              <w:right w:val="single" w:sz="4" w:space="0" w:color="auto"/>
            </w:tcBorders>
            <w:hideMark/>
          </w:tcPr>
          <w:p w14:paraId="69A85E3F" w14:textId="77777777" w:rsidR="00395F28" w:rsidRDefault="00395F28">
            <w:pPr>
              <w:jc w:val="center"/>
            </w:pPr>
            <w:r>
              <w:t>4/18</w:t>
            </w:r>
          </w:p>
        </w:tc>
        <w:tc>
          <w:tcPr>
            <w:tcW w:w="993" w:type="dxa"/>
            <w:tcBorders>
              <w:top w:val="single" w:sz="4" w:space="0" w:color="auto"/>
              <w:left w:val="single" w:sz="4" w:space="0" w:color="auto"/>
              <w:bottom w:val="single" w:sz="4" w:space="0" w:color="auto"/>
              <w:right w:val="single" w:sz="4" w:space="0" w:color="auto"/>
            </w:tcBorders>
            <w:hideMark/>
          </w:tcPr>
          <w:p w14:paraId="7B3494C3" w14:textId="77777777" w:rsidR="00395F28" w:rsidRDefault="00395F28">
            <w:pPr>
              <w:jc w:val="center"/>
            </w:pPr>
            <w:r>
              <w:t xml:space="preserve">42 </w:t>
            </w:r>
            <w:r>
              <w:br/>
              <w:t>mins</w:t>
            </w:r>
            <w:r>
              <w:br/>
              <w:t>per student</w:t>
            </w:r>
          </w:p>
        </w:tc>
        <w:tc>
          <w:tcPr>
            <w:tcW w:w="850" w:type="dxa"/>
            <w:tcBorders>
              <w:top w:val="single" w:sz="4" w:space="0" w:color="auto"/>
              <w:left w:val="single" w:sz="4" w:space="0" w:color="auto"/>
              <w:bottom w:val="single" w:sz="4" w:space="0" w:color="auto"/>
              <w:right w:val="single" w:sz="4" w:space="0" w:color="auto"/>
            </w:tcBorders>
            <w:hideMark/>
          </w:tcPr>
          <w:p w14:paraId="2B3C030A" w14:textId="77777777" w:rsidR="00395F28" w:rsidRDefault="00395F28">
            <w:pPr>
              <w:jc w:val="center"/>
            </w:pPr>
            <w:r>
              <w:t>112</w:t>
            </w:r>
            <w:r>
              <w:br/>
              <w:t>words</w:t>
            </w:r>
            <w:r>
              <w:br/>
              <w:t>per script</w:t>
            </w:r>
          </w:p>
        </w:tc>
        <w:tc>
          <w:tcPr>
            <w:tcW w:w="709" w:type="dxa"/>
            <w:tcBorders>
              <w:top w:val="single" w:sz="4" w:space="0" w:color="auto"/>
              <w:left w:val="single" w:sz="4" w:space="0" w:color="auto"/>
              <w:bottom w:val="single" w:sz="4" w:space="0" w:color="auto"/>
              <w:right w:val="single" w:sz="4" w:space="0" w:color="auto"/>
            </w:tcBorders>
            <w:hideMark/>
          </w:tcPr>
          <w:p w14:paraId="384D5666" w14:textId="77777777" w:rsidR="00395F28" w:rsidRDefault="00395F28">
            <w:pPr>
              <w:jc w:val="center"/>
            </w:pPr>
            <w:r>
              <w:t>14</w:t>
            </w:r>
            <w:r>
              <w:br/>
              <w:t>days</w:t>
            </w:r>
          </w:p>
        </w:tc>
      </w:tr>
      <w:tr w:rsidR="00395F28" w14:paraId="26345F52" w14:textId="77777777" w:rsidTr="00395F28">
        <w:tc>
          <w:tcPr>
            <w:tcW w:w="675" w:type="dxa"/>
            <w:tcBorders>
              <w:top w:val="single" w:sz="4" w:space="0" w:color="auto"/>
              <w:left w:val="single" w:sz="4" w:space="0" w:color="auto"/>
              <w:bottom w:val="single" w:sz="4" w:space="0" w:color="auto"/>
              <w:right w:val="single" w:sz="4" w:space="0" w:color="auto"/>
            </w:tcBorders>
            <w:hideMark/>
          </w:tcPr>
          <w:p w14:paraId="163A3EEE" w14:textId="77777777" w:rsidR="00395F28" w:rsidRDefault="00395F28">
            <w:r>
              <w:t xml:space="preserve"> 5</w:t>
            </w:r>
          </w:p>
        </w:tc>
        <w:tc>
          <w:tcPr>
            <w:tcW w:w="2127" w:type="dxa"/>
            <w:tcBorders>
              <w:top w:val="single" w:sz="4" w:space="0" w:color="auto"/>
              <w:left w:val="single" w:sz="4" w:space="0" w:color="auto"/>
              <w:bottom w:val="single" w:sz="4" w:space="0" w:color="auto"/>
              <w:right w:val="single" w:sz="4" w:space="0" w:color="auto"/>
            </w:tcBorders>
            <w:hideMark/>
          </w:tcPr>
          <w:p w14:paraId="538CEF66" w14:textId="77777777" w:rsidR="00395F28" w:rsidRDefault="00395F28">
            <w:r>
              <w:t>Short conceptual explanations; primary source based research essays</w:t>
            </w:r>
            <w:r>
              <w:br/>
            </w:r>
          </w:p>
        </w:tc>
        <w:tc>
          <w:tcPr>
            <w:tcW w:w="567" w:type="dxa"/>
            <w:tcBorders>
              <w:top w:val="single" w:sz="4" w:space="0" w:color="auto"/>
              <w:left w:val="single" w:sz="4" w:space="0" w:color="auto"/>
              <w:bottom w:val="single" w:sz="4" w:space="0" w:color="auto"/>
              <w:right w:val="single" w:sz="4" w:space="0" w:color="auto"/>
            </w:tcBorders>
            <w:hideMark/>
          </w:tcPr>
          <w:p w14:paraId="60C90C12" w14:textId="77777777" w:rsidR="00395F28" w:rsidRDefault="00395F28">
            <w:pPr>
              <w:jc w:val="center"/>
            </w:pPr>
            <w:r>
              <w:t>2</w:t>
            </w:r>
          </w:p>
        </w:tc>
        <w:tc>
          <w:tcPr>
            <w:tcW w:w="567" w:type="dxa"/>
            <w:tcBorders>
              <w:top w:val="single" w:sz="4" w:space="0" w:color="auto"/>
              <w:left w:val="single" w:sz="4" w:space="0" w:color="auto"/>
              <w:bottom w:val="single" w:sz="4" w:space="0" w:color="auto"/>
              <w:right w:val="single" w:sz="4" w:space="0" w:color="auto"/>
            </w:tcBorders>
            <w:hideMark/>
          </w:tcPr>
          <w:p w14:paraId="1BE0FD96" w14:textId="77777777" w:rsidR="00395F28" w:rsidRDefault="00395F28">
            <w:pPr>
              <w:jc w:val="center"/>
            </w:pPr>
            <w:r>
              <w:t>16</w:t>
            </w:r>
          </w:p>
        </w:tc>
        <w:tc>
          <w:tcPr>
            <w:tcW w:w="425" w:type="dxa"/>
            <w:tcBorders>
              <w:top w:val="single" w:sz="4" w:space="0" w:color="auto"/>
              <w:left w:val="single" w:sz="4" w:space="0" w:color="auto"/>
              <w:bottom w:val="single" w:sz="4" w:space="0" w:color="auto"/>
              <w:right w:val="single" w:sz="4" w:space="0" w:color="auto"/>
            </w:tcBorders>
            <w:hideMark/>
          </w:tcPr>
          <w:p w14:paraId="216D1E50" w14:textId="77777777" w:rsidR="00395F28" w:rsidRDefault="00395F28">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7230AD17" w14:textId="77777777" w:rsidR="00395F28" w:rsidRDefault="00395F28">
            <w:pPr>
              <w:jc w:val="center"/>
            </w:pPr>
            <w:r>
              <w:t>4/16</w:t>
            </w:r>
          </w:p>
        </w:tc>
        <w:tc>
          <w:tcPr>
            <w:tcW w:w="993" w:type="dxa"/>
            <w:tcBorders>
              <w:top w:val="single" w:sz="4" w:space="0" w:color="auto"/>
              <w:left w:val="single" w:sz="4" w:space="0" w:color="auto"/>
              <w:bottom w:val="single" w:sz="4" w:space="0" w:color="auto"/>
              <w:right w:val="single" w:sz="4" w:space="0" w:color="auto"/>
            </w:tcBorders>
            <w:hideMark/>
          </w:tcPr>
          <w:p w14:paraId="506D36E0" w14:textId="77777777" w:rsidR="00395F28" w:rsidRDefault="00395F28">
            <w:pPr>
              <w:jc w:val="center"/>
            </w:pPr>
            <w:r>
              <w:t>7.5 mins</w:t>
            </w:r>
          </w:p>
        </w:tc>
        <w:tc>
          <w:tcPr>
            <w:tcW w:w="850" w:type="dxa"/>
            <w:tcBorders>
              <w:top w:val="single" w:sz="4" w:space="0" w:color="auto"/>
              <w:left w:val="single" w:sz="4" w:space="0" w:color="auto"/>
              <w:bottom w:val="single" w:sz="4" w:space="0" w:color="auto"/>
              <w:right w:val="single" w:sz="4" w:space="0" w:color="auto"/>
            </w:tcBorders>
            <w:hideMark/>
          </w:tcPr>
          <w:p w14:paraId="08DF2265" w14:textId="77777777" w:rsidR="00395F28" w:rsidRDefault="00395F28">
            <w:pPr>
              <w:jc w:val="center"/>
            </w:pPr>
            <w:r>
              <w:t>395</w:t>
            </w:r>
            <w:r>
              <w:br/>
              <w:t>words</w:t>
            </w:r>
          </w:p>
        </w:tc>
        <w:tc>
          <w:tcPr>
            <w:tcW w:w="709" w:type="dxa"/>
            <w:tcBorders>
              <w:top w:val="single" w:sz="4" w:space="0" w:color="auto"/>
              <w:left w:val="single" w:sz="4" w:space="0" w:color="auto"/>
              <w:bottom w:val="single" w:sz="4" w:space="0" w:color="auto"/>
              <w:right w:val="single" w:sz="4" w:space="0" w:color="auto"/>
            </w:tcBorders>
            <w:hideMark/>
          </w:tcPr>
          <w:p w14:paraId="73372932" w14:textId="77777777" w:rsidR="00395F28" w:rsidRDefault="00395F28">
            <w:pPr>
              <w:jc w:val="center"/>
            </w:pPr>
            <w:r>
              <w:t>14</w:t>
            </w:r>
            <w:r>
              <w:br/>
              <w:t>days</w:t>
            </w:r>
          </w:p>
        </w:tc>
      </w:tr>
      <w:tr w:rsidR="00395F28" w14:paraId="06703EB8" w14:textId="77777777" w:rsidTr="00395F28">
        <w:tc>
          <w:tcPr>
            <w:tcW w:w="675" w:type="dxa"/>
            <w:tcBorders>
              <w:top w:val="single" w:sz="4" w:space="0" w:color="auto"/>
              <w:left w:val="single" w:sz="4" w:space="0" w:color="auto"/>
              <w:bottom w:val="single" w:sz="4" w:space="0" w:color="auto"/>
              <w:right w:val="single" w:sz="4" w:space="0" w:color="auto"/>
            </w:tcBorders>
            <w:hideMark/>
          </w:tcPr>
          <w:p w14:paraId="4239A5E1" w14:textId="77777777" w:rsidR="00395F28" w:rsidRDefault="00395F28">
            <w:r>
              <w:t xml:space="preserve"> 6</w:t>
            </w:r>
          </w:p>
        </w:tc>
        <w:tc>
          <w:tcPr>
            <w:tcW w:w="2127" w:type="dxa"/>
            <w:tcBorders>
              <w:top w:val="single" w:sz="4" w:space="0" w:color="auto"/>
              <w:left w:val="single" w:sz="4" w:space="0" w:color="auto"/>
              <w:bottom w:val="single" w:sz="4" w:space="0" w:color="auto"/>
              <w:right w:val="single" w:sz="4" w:space="0" w:color="auto"/>
            </w:tcBorders>
            <w:hideMark/>
          </w:tcPr>
          <w:p w14:paraId="389D8174" w14:textId="77777777" w:rsidR="00395F28" w:rsidRDefault="00395F28">
            <w:r>
              <w:t>Research proposal; presentation; dissertation; policy brief</w:t>
            </w:r>
            <w:r>
              <w:br/>
            </w:r>
          </w:p>
        </w:tc>
        <w:tc>
          <w:tcPr>
            <w:tcW w:w="567" w:type="dxa"/>
            <w:tcBorders>
              <w:top w:val="single" w:sz="4" w:space="0" w:color="auto"/>
              <w:left w:val="single" w:sz="4" w:space="0" w:color="auto"/>
              <w:bottom w:val="single" w:sz="4" w:space="0" w:color="auto"/>
              <w:right w:val="single" w:sz="4" w:space="0" w:color="auto"/>
            </w:tcBorders>
            <w:hideMark/>
          </w:tcPr>
          <w:p w14:paraId="0D7C1B61" w14:textId="77777777" w:rsidR="00395F28" w:rsidRDefault="00395F28">
            <w:pPr>
              <w:jc w:val="center"/>
            </w:pPr>
            <w:r>
              <w:t>4</w:t>
            </w:r>
          </w:p>
        </w:tc>
        <w:tc>
          <w:tcPr>
            <w:tcW w:w="567" w:type="dxa"/>
            <w:tcBorders>
              <w:top w:val="single" w:sz="4" w:space="0" w:color="auto"/>
              <w:left w:val="single" w:sz="4" w:space="0" w:color="auto"/>
              <w:bottom w:val="single" w:sz="4" w:space="0" w:color="auto"/>
              <w:right w:val="single" w:sz="4" w:space="0" w:color="auto"/>
            </w:tcBorders>
            <w:hideMark/>
          </w:tcPr>
          <w:p w14:paraId="6D3322B7" w14:textId="77777777" w:rsidR="00395F28" w:rsidRDefault="00395F28">
            <w:pPr>
              <w:jc w:val="center"/>
            </w:pPr>
            <w:r>
              <w:t>15</w:t>
            </w:r>
          </w:p>
        </w:tc>
        <w:tc>
          <w:tcPr>
            <w:tcW w:w="425" w:type="dxa"/>
            <w:tcBorders>
              <w:top w:val="single" w:sz="4" w:space="0" w:color="auto"/>
              <w:left w:val="single" w:sz="4" w:space="0" w:color="auto"/>
              <w:bottom w:val="single" w:sz="4" w:space="0" w:color="auto"/>
              <w:right w:val="single" w:sz="4" w:space="0" w:color="auto"/>
            </w:tcBorders>
            <w:hideMark/>
          </w:tcPr>
          <w:p w14:paraId="5DC7B573" w14:textId="77777777" w:rsidR="00395F28" w:rsidRDefault="00395F28">
            <w:pPr>
              <w:jc w:val="center"/>
            </w:pPr>
            <w:r>
              <w:t>0</w:t>
            </w:r>
          </w:p>
        </w:tc>
        <w:tc>
          <w:tcPr>
            <w:tcW w:w="850" w:type="dxa"/>
            <w:tcBorders>
              <w:top w:val="single" w:sz="4" w:space="0" w:color="auto"/>
              <w:left w:val="single" w:sz="4" w:space="0" w:color="auto"/>
              <w:bottom w:val="single" w:sz="4" w:space="0" w:color="auto"/>
              <w:right w:val="single" w:sz="4" w:space="0" w:color="auto"/>
            </w:tcBorders>
            <w:hideMark/>
          </w:tcPr>
          <w:p w14:paraId="5188D711" w14:textId="77777777" w:rsidR="00395F28" w:rsidRDefault="00395F28">
            <w:pPr>
              <w:jc w:val="center"/>
            </w:pPr>
            <w:r>
              <w:t>5/15</w:t>
            </w:r>
          </w:p>
        </w:tc>
        <w:tc>
          <w:tcPr>
            <w:tcW w:w="993" w:type="dxa"/>
            <w:tcBorders>
              <w:top w:val="single" w:sz="4" w:space="0" w:color="auto"/>
              <w:left w:val="single" w:sz="4" w:space="0" w:color="auto"/>
              <w:bottom w:val="single" w:sz="4" w:space="0" w:color="auto"/>
              <w:right w:val="single" w:sz="4" w:space="0" w:color="auto"/>
            </w:tcBorders>
            <w:hideMark/>
          </w:tcPr>
          <w:p w14:paraId="09AF7C4C" w14:textId="77777777" w:rsidR="00395F28" w:rsidRDefault="00395F28">
            <w:pPr>
              <w:jc w:val="center"/>
            </w:pPr>
            <w:r>
              <w:t xml:space="preserve">9 </w:t>
            </w:r>
            <w:r>
              <w:br/>
              <w:t>mins</w:t>
            </w:r>
          </w:p>
        </w:tc>
        <w:tc>
          <w:tcPr>
            <w:tcW w:w="850" w:type="dxa"/>
            <w:tcBorders>
              <w:top w:val="single" w:sz="4" w:space="0" w:color="auto"/>
              <w:left w:val="single" w:sz="4" w:space="0" w:color="auto"/>
              <w:bottom w:val="single" w:sz="4" w:space="0" w:color="auto"/>
              <w:right w:val="single" w:sz="4" w:space="0" w:color="auto"/>
            </w:tcBorders>
            <w:hideMark/>
          </w:tcPr>
          <w:p w14:paraId="2C403046" w14:textId="77777777" w:rsidR="00395F28" w:rsidRDefault="00395F28">
            <w:pPr>
              <w:jc w:val="center"/>
            </w:pPr>
            <w:r>
              <w:t>74</w:t>
            </w:r>
            <w:r>
              <w:rPr>
                <w:rStyle w:val="FootnoteReference"/>
              </w:rPr>
              <w:footnoteReference w:id="3"/>
            </w:r>
            <w:r>
              <w:br/>
              <w:t>words</w:t>
            </w:r>
          </w:p>
        </w:tc>
        <w:tc>
          <w:tcPr>
            <w:tcW w:w="709" w:type="dxa"/>
            <w:tcBorders>
              <w:top w:val="single" w:sz="4" w:space="0" w:color="auto"/>
              <w:left w:val="single" w:sz="4" w:space="0" w:color="auto"/>
              <w:bottom w:val="single" w:sz="4" w:space="0" w:color="auto"/>
              <w:right w:val="single" w:sz="4" w:space="0" w:color="auto"/>
            </w:tcBorders>
            <w:hideMark/>
          </w:tcPr>
          <w:p w14:paraId="3588BDE7" w14:textId="77777777" w:rsidR="00395F28" w:rsidRDefault="00395F28">
            <w:pPr>
              <w:jc w:val="center"/>
            </w:pPr>
            <w:r>
              <w:t>14</w:t>
            </w:r>
          </w:p>
          <w:p w14:paraId="59EA23E7" w14:textId="77777777" w:rsidR="00395F28" w:rsidRDefault="00395F28">
            <w:pPr>
              <w:jc w:val="center"/>
            </w:pPr>
            <w:r>
              <w:t>days</w:t>
            </w:r>
          </w:p>
        </w:tc>
      </w:tr>
      <w:tr w:rsidR="00395F28" w14:paraId="7BF234C1" w14:textId="77777777" w:rsidTr="00395F28">
        <w:tc>
          <w:tcPr>
            <w:tcW w:w="2802" w:type="dxa"/>
            <w:gridSpan w:val="2"/>
            <w:tcBorders>
              <w:top w:val="single" w:sz="4" w:space="0" w:color="auto"/>
              <w:left w:val="single" w:sz="4" w:space="0" w:color="auto"/>
              <w:bottom w:val="single" w:sz="4" w:space="0" w:color="auto"/>
              <w:right w:val="single" w:sz="4" w:space="0" w:color="auto"/>
            </w:tcBorders>
            <w:hideMark/>
          </w:tcPr>
          <w:p w14:paraId="1B22DE9B" w14:textId="77777777" w:rsidR="00395F28" w:rsidRDefault="00395F28">
            <w:pPr>
              <w:rPr>
                <w:rFonts w:ascii="Arial" w:hAnsi="Arial" w:cs="Arial"/>
                <w:b/>
              </w:rPr>
            </w:pPr>
            <w:r>
              <w:rPr>
                <w:rFonts w:ascii="Arial" w:hAnsi="Arial" w:cs="Arial"/>
                <w:b/>
              </w:rPr>
              <w:br/>
              <w:t>Totals</w:t>
            </w:r>
          </w:p>
        </w:tc>
        <w:tc>
          <w:tcPr>
            <w:tcW w:w="567" w:type="dxa"/>
            <w:tcBorders>
              <w:top w:val="single" w:sz="4" w:space="0" w:color="auto"/>
              <w:left w:val="single" w:sz="4" w:space="0" w:color="auto"/>
              <w:bottom w:val="single" w:sz="4" w:space="0" w:color="auto"/>
              <w:right w:val="single" w:sz="4" w:space="0" w:color="auto"/>
            </w:tcBorders>
            <w:hideMark/>
          </w:tcPr>
          <w:p w14:paraId="23C297E8" w14:textId="77777777" w:rsidR="00395F28" w:rsidRDefault="00395F28">
            <w:pPr>
              <w:jc w:val="center"/>
              <w:rPr>
                <w:rFonts w:ascii="Arial" w:hAnsi="Arial" w:cs="Arial"/>
                <w:b/>
              </w:rPr>
            </w:pPr>
            <w:r>
              <w:rPr>
                <w:rFonts w:ascii="Arial" w:hAnsi="Arial" w:cs="Arial"/>
                <w:b/>
              </w:rPr>
              <w:br/>
              <w:t>13</w:t>
            </w:r>
          </w:p>
        </w:tc>
        <w:tc>
          <w:tcPr>
            <w:tcW w:w="567" w:type="dxa"/>
            <w:tcBorders>
              <w:top w:val="single" w:sz="4" w:space="0" w:color="auto"/>
              <w:left w:val="single" w:sz="4" w:space="0" w:color="auto"/>
              <w:bottom w:val="single" w:sz="4" w:space="0" w:color="auto"/>
              <w:right w:val="single" w:sz="4" w:space="0" w:color="auto"/>
            </w:tcBorders>
            <w:hideMark/>
          </w:tcPr>
          <w:p w14:paraId="7B4A7093" w14:textId="77777777" w:rsidR="00395F28" w:rsidRDefault="00395F28">
            <w:pPr>
              <w:jc w:val="center"/>
              <w:rPr>
                <w:rFonts w:ascii="Arial" w:hAnsi="Arial" w:cs="Arial"/>
                <w:b/>
              </w:rPr>
            </w:pPr>
            <w:r>
              <w:rPr>
                <w:rFonts w:ascii="Arial" w:hAnsi="Arial" w:cs="Arial"/>
                <w:b/>
              </w:rPr>
              <w:br/>
              <w:t>49</w:t>
            </w:r>
          </w:p>
        </w:tc>
        <w:tc>
          <w:tcPr>
            <w:tcW w:w="425" w:type="dxa"/>
            <w:tcBorders>
              <w:top w:val="single" w:sz="4" w:space="0" w:color="auto"/>
              <w:left w:val="single" w:sz="4" w:space="0" w:color="auto"/>
              <w:bottom w:val="single" w:sz="4" w:space="0" w:color="auto"/>
              <w:right w:val="single" w:sz="4" w:space="0" w:color="auto"/>
            </w:tcBorders>
            <w:hideMark/>
          </w:tcPr>
          <w:p w14:paraId="71CDBAAD" w14:textId="77777777" w:rsidR="00395F28" w:rsidRDefault="00395F28">
            <w:pPr>
              <w:jc w:val="center"/>
              <w:rPr>
                <w:rFonts w:ascii="Arial" w:hAnsi="Arial" w:cs="Arial"/>
                <w:b/>
              </w:rPr>
            </w:pPr>
            <w:r>
              <w:rPr>
                <w:rFonts w:ascii="Arial" w:hAnsi="Arial" w:cs="Arial"/>
                <w:b/>
              </w:rPr>
              <w:br/>
              <w:t>3</w:t>
            </w:r>
          </w:p>
        </w:tc>
        <w:tc>
          <w:tcPr>
            <w:tcW w:w="850" w:type="dxa"/>
            <w:tcBorders>
              <w:top w:val="single" w:sz="4" w:space="0" w:color="auto"/>
              <w:left w:val="single" w:sz="4" w:space="0" w:color="auto"/>
              <w:bottom w:val="single" w:sz="4" w:space="0" w:color="auto"/>
              <w:right w:val="single" w:sz="4" w:space="0" w:color="auto"/>
            </w:tcBorders>
            <w:hideMark/>
          </w:tcPr>
          <w:p w14:paraId="7C7F61AD" w14:textId="77777777" w:rsidR="00395F28" w:rsidRDefault="00395F28">
            <w:pPr>
              <w:jc w:val="center"/>
              <w:rPr>
                <w:rFonts w:ascii="Arial" w:hAnsi="Arial" w:cs="Arial"/>
                <w:b/>
              </w:rPr>
            </w:pPr>
            <w:r>
              <w:rPr>
                <w:rFonts w:ascii="Arial" w:hAnsi="Arial" w:cs="Arial"/>
                <w:b/>
              </w:rPr>
              <w:br/>
              <w:t>13/49</w:t>
            </w:r>
          </w:p>
        </w:tc>
        <w:tc>
          <w:tcPr>
            <w:tcW w:w="993" w:type="dxa"/>
            <w:tcBorders>
              <w:top w:val="single" w:sz="4" w:space="0" w:color="auto"/>
              <w:left w:val="single" w:sz="4" w:space="0" w:color="auto"/>
              <w:bottom w:val="single" w:sz="4" w:space="0" w:color="auto"/>
              <w:right w:val="single" w:sz="4" w:space="0" w:color="auto"/>
            </w:tcBorders>
            <w:hideMark/>
          </w:tcPr>
          <w:p w14:paraId="3DD31A2A" w14:textId="77777777" w:rsidR="00395F28" w:rsidRDefault="00395F28">
            <w:pPr>
              <w:jc w:val="center"/>
              <w:rPr>
                <w:rFonts w:ascii="Arial" w:hAnsi="Arial" w:cs="Arial"/>
                <w:b/>
              </w:rPr>
            </w:pPr>
            <w:r>
              <w:rPr>
                <w:rFonts w:ascii="Arial" w:hAnsi="Arial" w:cs="Arial"/>
                <w:b/>
              </w:rPr>
              <w:br/>
              <w:t>58.5</w:t>
            </w:r>
          </w:p>
        </w:tc>
        <w:tc>
          <w:tcPr>
            <w:tcW w:w="850" w:type="dxa"/>
            <w:tcBorders>
              <w:top w:val="single" w:sz="4" w:space="0" w:color="auto"/>
              <w:left w:val="single" w:sz="4" w:space="0" w:color="auto"/>
              <w:bottom w:val="single" w:sz="4" w:space="0" w:color="auto"/>
              <w:right w:val="single" w:sz="4" w:space="0" w:color="auto"/>
            </w:tcBorders>
            <w:hideMark/>
          </w:tcPr>
          <w:p w14:paraId="669FA1E2" w14:textId="77777777" w:rsidR="00395F28" w:rsidRDefault="00395F28">
            <w:pPr>
              <w:jc w:val="center"/>
              <w:rPr>
                <w:rFonts w:ascii="Arial" w:hAnsi="Arial" w:cs="Arial"/>
                <w:b/>
              </w:rPr>
            </w:pPr>
            <w:r>
              <w:rPr>
                <w:rFonts w:ascii="Arial" w:hAnsi="Arial" w:cs="Arial"/>
                <w:b/>
              </w:rPr>
              <w:br/>
              <w:t>7527</w:t>
            </w:r>
            <w:r>
              <w:rPr>
                <w:rStyle w:val="FootnoteReference"/>
                <w:rFonts w:ascii="Arial" w:hAnsi="Arial" w:cs="Arial"/>
                <w:b/>
              </w:rPr>
              <w:footnoteReference w:id="4"/>
            </w:r>
          </w:p>
        </w:tc>
        <w:tc>
          <w:tcPr>
            <w:tcW w:w="709" w:type="dxa"/>
            <w:tcBorders>
              <w:top w:val="single" w:sz="4" w:space="0" w:color="auto"/>
              <w:left w:val="single" w:sz="4" w:space="0" w:color="auto"/>
              <w:bottom w:val="single" w:sz="4" w:space="0" w:color="auto"/>
              <w:right w:val="single" w:sz="4" w:space="0" w:color="auto"/>
            </w:tcBorders>
            <w:hideMark/>
          </w:tcPr>
          <w:p w14:paraId="15125922" w14:textId="77777777" w:rsidR="00395F28" w:rsidRDefault="00395F28">
            <w:pPr>
              <w:jc w:val="center"/>
              <w:rPr>
                <w:rFonts w:ascii="Arial" w:hAnsi="Arial" w:cs="Arial"/>
                <w:b/>
              </w:rPr>
            </w:pPr>
            <w:r>
              <w:rPr>
                <w:rFonts w:ascii="Arial" w:hAnsi="Arial" w:cs="Arial"/>
                <w:b/>
              </w:rPr>
              <w:br/>
              <w:t>14</w:t>
            </w:r>
            <w:r>
              <w:rPr>
                <w:rFonts w:ascii="Arial" w:hAnsi="Arial" w:cs="Arial"/>
                <w:b/>
              </w:rPr>
              <w:br/>
            </w:r>
          </w:p>
        </w:tc>
      </w:tr>
    </w:tbl>
    <w:p w14:paraId="15DED44A" w14:textId="77777777" w:rsidR="00395F28" w:rsidRDefault="00395F28" w:rsidP="00395F28">
      <w:pPr>
        <w:rPr>
          <w:rFonts w:ascii="Arial" w:hAnsi="Arial" w:cs="Arial"/>
        </w:rPr>
      </w:pPr>
      <w:r>
        <w:rPr>
          <w:b/>
        </w:rPr>
        <w:br w:type="page"/>
      </w:r>
      <w:r>
        <w:rPr>
          <w:rFonts w:ascii="Arial" w:hAnsi="Arial" w:cs="Arial"/>
        </w:rPr>
        <w:lastRenderedPageBreak/>
        <w:t xml:space="preserve">3. </w:t>
      </w:r>
      <w:r>
        <w:rPr>
          <w:rFonts w:ascii="Arial" w:hAnsi="Arial" w:cs="Arial"/>
        </w:rPr>
        <w:tab/>
        <w:t xml:space="preserve">Features of </w:t>
      </w:r>
      <w:r w:rsidR="002E7E98">
        <w:rPr>
          <w:rFonts w:ascii="Arial" w:hAnsi="Arial" w:cs="Arial"/>
        </w:rPr>
        <w:t>X</w:t>
      </w:r>
      <w:r>
        <w:rPr>
          <w:rFonts w:ascii="Arial" w:hAnsi="Arial" w:cs="Arial"/>
        </w:rPr>
        <w:t xml:space="preserve"> from audit discussion</w:t>
      </w:r>
      <w:r>
        <w:rPr>
          <w:rFonts w:ascii="Arial" w:hAnsi="Arial" w:cs="Arial"/>
        </w:rPr>
        <w:br/>
      </w:r>
    </w:p>
    <w:p w14:paraId="2082DE3F" w14:textId="77777777" w:rsidR="00395F28" w:rsidRDefault="00395F28" w:rsidP="00395F28">
      <w:pPr>
        <w:numPr>
          <w:ilvl w:val="0"/>
          <w:numId w:val="1"/>
        </w:numPr>
      </w:pPr>
      <w:r>
        <w:t xml:space="preserve">First year is heavily dependent on fractional teaching assistants (mainly PhD students), in particular the seminar component where lecture material and readings are discussed in small groups. The clarification and discussion of key concepts in small group settings is in the hands of teaching assistants, as is the marking of assessment. This may have an impact on the quality of feedback, marker variation and standards, student clarity about goals and standards, and student perceptions of fair grading. It is not clear how much of a community of practice exists across the cadre of fractional teaching assistants, and the relationship between lectures, lecturers and teaching assistants – for example, do teaching assistants attend the lectures or discuss the content with lecturers? </w:t>
      </w:r>
      <w:r>
        <w:br/>
      </w:r>
    </w:p>
    <w:p w14:paraId="5794D5AD" w14:textId="77777777" w:rsidR="00395F28" w:rsidRDefault="002E7E98" w:rsidP="00395F28">
      <w:pPr>
        <w:numPr>
          <w:ilvl w:val="0"/>
          <w:numId w:val="1"/>
        </w:numPr>
      </w:pPr>
      <w:r>
        <w:t>Timeliness:</w:t>
      </w:r>
      <w:r w:rsidR="00395F28">
        <w:t xml:space="preserve"> return of assessment is extremely quick – 14 days. This must impact positively on student use of feedback as it is returned in time for students to remember what they wrote. A good proportion </w:t>
      </w:r>
      <w:proofErr w:type="gramStart"/>
      <w:r w:rsidR="00395F28">
        <w:t>of  assessments</w:t>
      </w:r>
      <w:proofErr w:type="gramEnd"/>
      <w:r w:rsidR="00395F28">
        <w:t xml:space="preserve"> are brief enough (some 16 x 1000, 750 and 500 word pieces) to allow for a quick turnaround, but some are longer (2,000-3,000). Given the numbers of students and volume of assessment, a 14 day turnaround is remarkable. There is a question about whether there might be a trade off between timeliness and the quantity and quality of feedback, but my sense is that quick feedback is like gold dust and therefore not worth surrendering for the chance of better quality and higher volumes of written feedback.</w:t>
      </w:r>
      <w:r w:rsidR="00395F28">
        <w:br/>
      </w:r>
    </w:p>
    <w:p w14:paraId="03D62FEF" w14:textId="77777777" w:rsidR="00395F28" w:rsidRDefault="00395F28" w:rsidP="00395F28">
      <w:pPr>
        <w:numPr>
          <w:ilvl w:val="0"/>
          <w:numId w:val="1"/>
        </w:numPr>
      </w:pPr>
      <w:r>
        <w:t>Volumes of assessment: 49 summative plus 3 formative is a comparatively high assessment load, given the average on 8 TESTA programmes of 36 summative plus 7 formative. Looking beyond these numbers,</w:t>
      </w:r>
      <w:r w:rsidR="002E7E98">
        <w:t xml:space="preserve"> X</w:t>
      </w:r>
      <w:r>
        <w:t xml:space="preserve"> has 16 shorter coursework assessment tasks, = or &lt; 1,000 words. This puts the high volume into perspective but is also a good tactic for ensuring distribution of student effort and sustained understanding of theory and concepts, although some students may take shorter, lower-weighted tasks less seriously. 13 out of 49 summative tasks are exams, which do not require feedback and, arguably, are more efficient to mark. Questions about volume of assessment are (</w:t>
      </w:r>
      <w:proofErr w:type="spellStart"/>
      <w:r>
        <w:t>i</w:t>
      </w:r>
      <w:proofErr w:type="spellEnd"/>
      <w:r>
        <w:t xml:space="preserve">) whether there is sufficient assessment to distribute student effort, (ii) whether the tasks are configured to promote deep learning, and (iii) how the assessment ensures that students to engage with the whole curriculum.  For example: do the exams encourage ‘selective negligence’ and surface learning/memorisation of facts? Is there sufficient time for students before the exams to engage in revision which draws out higher order thinking, and do the exams demand analytical skills, or the kinds of problem solving found in case studies? Is the design of exams sufficiently challenging and complex, possibly incorporating some rehearsal activities in the run up to exams, to compensate for the lack of feedback </w:t>
      </w:r>
      <w:r>
        <w:rPr>
          <w:i/>
        </w:rPr>
        <w:t>afterwards</w:t>
      </w:r>
      <w:r>
        <w:t xml:space="preserve"> with formative elements </w:t>
      </w:r>
      <w:r>
        <w:rPr>
          <w:i/>
        </w:rPr>
        <w:t>beforehand</w:t>
      </w:r>
      <w:r>
        <w:t>?</w:t>
      </w:r>
      <w:r>
        <w:br/>
      </w:r>
    </w:p>
    <w:p w14:paraId="4AF98E62" w14:textId="77777777" w:rsidR="00395F28" w:rsidRDefault="00395F28" w:rsidP="00395F28">
      <w:pPr>
        <w:numPr>
          <w:ilvl w:val="0"/>
          <w:numId w:val="1"/>
        </w:numPr>
      </w:pPr>
      <w:r>
        <w:t xml:space="preserve">Formative to summative ratio:  Like most TESTA programmes, </w:t>
      </w:r>
      <w:r w:rsidR="002E7E98">
        <w:t>X</w:t>
      </w:r>
      <w:r>
        <w:t xml:space="preserve"> has a very low ratio of formative: summative of about 1:16.  In the first year there is an excellent example of a formative task in the Introduct</w:t>
      </w:r>
      <w:r w:rsidR="002E7E98">
        <w:t>ory</w:t>
      </w:r>
      <w:r>
        <w:t xml:space="preserve"> module with a draft-feedback-redraft cycle, made particularly powerful in that the draft is required and elicits feedback, but that marks are only allocated after the summative redraft is handed in. Students are likel</w:t>
      </w:r>
      <w:r w:rsidR="002E7E98">
        <w:t>y to attend to the feedback. X</w:t>
      </w:r>
      <w:r>
        <w:t xml:space="preserve"> 105 also contains strong formative elements with the high tutorial input in the run up to submission of assessments. However, overall there is not much formative assessment, which may influence how well students </w:t>
      </w:r>
      <w:r>
        <w:lastRenderedPageBreak/>
        <w:t xml:space="preserve">understand the goals and standards of their assessment. Variety of assessment (13 varieties over 49 summative tasks) may compound the problem of lack of clarity about what is expected in different assessment formats. The module handbooks provide useful advice on assessed tasks, and the convenors described examples of placing models of good practice on Blackboard for students to emulate, but it is not clear that these are programme-wide strategies. </w:t>
      </w:r>
      <w:r>
        <w:br/>
      </w:r>
    </w:p>
    <w:p w14:paraId="62D82608" w14:textId="77777777" w:rsidR="00395F28" w:rsidRDefault="00395F28" w:rsidP="00395F28">
      <w:pPr>
        <w:numPr>
          <w:ilvl w:val="0"/>
          <w:numId w:val="1"/>
        </w:numPr>
      </w:pPr>
      <w:r>
        <w:t xml:space="preserve">Final year dissertation: The </w:t>
      </w:r>
      <w:r w:rsidR="002E7E98">
        <w:t>X</w:t>
      </w:r>
      <w:r>
        <w:t xml:space="preserve"> programme builds up skills towards the dissertation through different elements of summative assessment (</w:t>
      </w:r>
      <w:proofErr w:type="spellStart"/>
      <w:r>
        <w:t>eg</w:t>
      </w:r>
      <w:proofErr w:type="spellEnd"/>
      <w:r>
        <w:t>. quantitative data analysis, the proposal, long essay, research paper critique etc).</w:t>
      </w:r>
    </w:p>
    <w:p w14:paraId="1937F858" w14:textId="77777777" w:rsidR="00395F28" w:rsidRDefault="00395F28" w:rsidP="00395F28">
      <w:pPr>
        <w:ind w:left="720"/>
        <w:rPr>
          <w:rFonts w:ascii="Arial" w:hAnsi="Arial" w:cs="Arial"/>
          <w:sz w:val="28"/>
          <w:szCs w:val="28"/>
        </w:rPr>
      </w:pPr>
      <w:r>
        <w:t xml:space="preserve">On the </w:t>
      </w:r>
      <w:r w:rsidR="002E7E98">
        <w:t>X</w:t>
      </w:r>
      <w:r>
        <w:t xml:space="preserve"> course it is policy </w:t>
      </w:r>
      <w:r>
        <w:rPr>
          <w:i/>
        </w:rPr>
        <w:t>not</w:t>
      </w:r>
      <w:r>
        <w:t xml:space="preserve"> to read dissertation drafts because of ethical issues and workload concerns.  Draft-redraft is a strong formative element in final year dissertations in the TESTA sample, characterised by oral and dialogic processes of feedback.  2</w:t>
      </w:r>
      <w:r>
        <w:rPr>
          <w:vertAlign w:val="superscript"/>
        </w:rPr>
        <w:t>nd</w:t>
      </w:r>
      <w:r>
        <w:t xml:space="preserve"> and 3</w:t>
      </w:r>
      <w:r>
        <w:rPr>
          <w:vertAlign w:val="superscript"/>
        </w:rPr>
        <w:t>rd</w:t>
      </w:r>
      <w:r>
        <w:t xml:space="preserve"> years of the </w:t>
      </w:r>
      <w:r w:rsidR="002E7E98">
        <w:t>X programme</w:t>
      </w:r>
      <w:r>
        <w:t xml:space="preserve"> evidence very little oral feedback, which seems anomalous given that students numbers have halved from 250 to 120, and that there is more involvement by full-time lecturers in leading seminars in these years. </w:t>
      </w:r>
      <w:r>
        <w:br/>
      </w:r>
      <w:r>
        <w:br/>
      </w:r>
      <w:r>
        <w:rPr>
          <w:rFonts w:ascii="Arial" w:hAnsi="Arial" w:cs="Arial"/>
        </w:rPr>
        <w:t xml:space="preserve">    Audit summary: what’s going on?</w:t>
      </w:r>
    </w:p>
    <w:p w14:paraId="133F0FFA"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Swift return of feedback (14 days) is likely to encourage use of feedback.</w:t>
      </w:r>
    </w:p>
    <w:p w14:paraId="7554B2A6"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High summative (49), low formative (3), and high variety of assessment (13) may lead students to be uncertain about assessment goals and standards.</w:t>
      </w:r>
    </w:p>
    <w:p w14:paraId="4D56796C"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High variety (13) can be counter-productive if there are not sufficient low-risk opportunities to practice different assessment formats.</w:t>
      </w:r>
    </w:p>
    <w:p w14:paraId="097D0C77"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Low oral feedback (59 minutes) is likely to compound lack of certainty about goals and standards.</w:t>
      </w:r>
    </w:p>
    <w:p w14:paraId="1D53D7BF"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But the combination of timely feedback, clear written criteria, and high volumes of written feedback (7527 words) may help to clarify goals and standards.</w:t>
      </w:r>
    </w:p>
    <w:p w14:paraId="34887BCD"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High proportion of exams (26.5%) may have positive consequences for coverage of the syllabus, depending on whether it is easy or not for students to ‘spot’ topics.</w:t>
      </w:r>
    </w:p>
    <w:p w14:paraId="730230E6"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Exams may lead to surface learning (memorising facts), depending on the level of challenge and the preparatory time.</w:t>
      </w:r>
    </w:p>
    <w:p w14:paraId="361AE80F"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Brief but challenging tasks (16/49) are a good way of distributing effort and sustaining engagement, especially when balanced with lon</w:t>
      </w:r>
      <w:r w:rsidR="002E7E98">
        <w:t xml:space="preserve">ger tasks as in the </w:t>
      </w:r>
      <w:r>
        <w:t xml:space="preserve">course. </w:t>
      </w:r>
    </w:p>
    <w:p w14:paraId="41454EB5" w14:textId="77777777" w:rsidR="00395F28" w:rsidRDefault="00395F28" w:rsidP="00395F28">
      <w:pPr>
        <w:numPr>
          <w:ilvl w:val="0"/>
          <w:numId w:val="2"/>
        </w:numPr>
        <w:pBdr>
          <w:top w:val="single" w:sz="4" w:space="1" w:color="auto"/>
          <w:left w:val="single" w:sz="4" w:space="4" w:color="auto"/>
          <w:bottom w:val="single" w:sz="4" w:space="1" w:color="auto"/>
          <w:right w:val="single" w:sz="4" w:space="4" w:color="auto"/>
        </w:pBdr>
        <w:spacing w:line="276" w:lineRule="auto"/>
      </w:pPr>
      <w:r>
        <w:t>In a climate of low oral feedback, reaction papers (described by Paul) provide a good means of developing the pedagogic relationship, and helping students think through questions raised by the course.</w:t>
      </w:r>
    </w:p>
    <w:p w14:paraId="1AE945A1" w14:textId="77777777" w:rsidR="00F246D1" w:rsidRDefault="00F246D1"/>
    <w:p w14:paraId="0220FD18" w14:textId="77777777" w:rsidR="007A3591" w:rsidRDefault="007A3591"/>
    <w:p w14:paraId="469A3FC2" w14:textId="77777777" w:rsidR="007A3591" w:rsidRDefault="007A3591"/>
    <w:p w14:paraId="268CDE9B" w14:textId="77777777" w:rsidR="007A3591" w:rsidRDefault="007A3591"/>
    <w:p w14:paraId="0544A4B9" w14:textId="77777777" w:rsidR="007A3591" w:rsidRDefault="007A3591"/>
    <w:p w14:paraId="356FFA77" w14:textId="77777777" w:rsidR="007A3591" w:rsidRDefault="007A3591"/>
    <w:p w14:paraId="23E875FB" w14:textId="77777777" w:rsidR="007A3591" w:rsidRDefault="007A3591"/>
    <w:p w14:paraId="2802F45A" w14:textId="77777777" w:rsidR="007A3591" w:rsidRPr="007C1A66" w:rsidRDefault="007A3591" w:rsidP="007A3591">
      <w:pPr>
        <w:rPr>
          <w:rFonts w:ascii="Calibri" w:hAnsi="Calibri" w:cs="Arial"/>
          <w:bCs/>
          <w:sz w:val="32"/>
          <w:u w:val="single"/>
        </w:rPr>
      </w:pPr>
      <w:r w:rsidRPr="007C1A66">
        <w:rPr>
          <w:rFonts w:ascii="Calibri" w:hAnsi="Calibri" w:cs="Arial"/>
          <w:bCs/>
          <w:sz w:val="32"/>
          <w:u w:val="single"/>
        </w:rPr>
        <w:lastRenderedPageBreak/>
        <w:t>APPENDIX A</w:t>
      </w:r>
    </w:p>
    <w:p w14:paraId="1464F631" w14:textId="77777777" w:rsidR="007A3591" w:rsidRDefault="007A3591" w:rsidP="007A3591">
      <w:pPr>
        <w:rPr>
          <w:rFonts w:ascii="Calibri" w:hAnsi="Calibri" w:cs="Arial"/>
          <w:bCs/>
          <w:u w:val="single"/>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690"/>
        <w:gridCol w:w="1913"/>
        <w:gridCol w:w="2296"/>
      </w:tblGrid>
      <w:tr w:rsidR="007A3591" w:rsidRPr="00094707" w14:paraId="54C13A84" w14:textId="77777777" w:rsidTr="0002110D">
        <w:trPr>
          <w:trHeight w:val="1303"/>
        </w:trPr>
        <w:tc>
          <w:tcPr>
            <w:tcW w:w="5000" w:type="pct"/>
            <w:gridSpan w:val="4"/>
          </w:tcPr>
          <w:p w14:paraId="004572F2" w14:textId="77777777" w:rsidR="007A3591" w:rsidRPr="00094707" w:rsidRDefault="007A3591" w:rsidP="0002110D">
            <w:pPr>
              <w:jc w:val="center"/>
              <w:rPr>
                <w:rFonts w:ascii="Calibri" w:hAnsi="Calibri" w:cs="Arial"/>
                <w:b/>
                <w:sz w:val="32"/>
                <w:szCs w:val="36"/>
              </w:rPr>
            </w:pPr>
          </w:p>
          <w:p w14:paraId="035769C9" w14:textId="77777777" w:rsidR="007A3591" w:rsidRPr="00094707" w:rsidRDefault="007A3591" w:rsidP="0002110D">
            <w:pPr>
              <w:jc w:val="center"/>
              <w:rPr>
                <w:rFonts w:ascii="Calibri" w:hAnsi="Calibri" w:cs="Arial"/>
                <w:b/>
                <w:sz w:val="32"/>
                <w:szCs w:val="36"/>
              </w:rPr>
            </w:pPr>
            <w:r>
              <w:rPr>
                <w:rFonts w:ascii="Calibri" w:hAnsi="Calibri" w:cs="Arial"/>
                <w:b/>
                <w:sz w:val="32"/>
                <w:szCs w:val="36"/>
              </w:rPr>
              <w:t>X</w:t>
            </w:r>
            <w:r w:rsidRPr="00094707">
              <w:rPr>
                <w:rFonts w:ascii="Calibri" w:hAnsi="Calibri" w:cs="Arial"/>
                <w:b/>
                <w:sz w:val="32"/>
                <w:szCs w:val="36"/>
              </w:rPr>
              <w:t xml:space="preserve"> compared to TESTA Audits: Means and Ranges</w:t>
            </w:r>
          </w:p>
          <w:p w14:paraId="4B81FC84" w14:textId="77777777" w:rsidR="007A3591" w:rsidRPr="00094707" w:rsidRDefault="007A3591" w:rsidP="0002110D">
            <w:pPr>
              <w:jc w:val="center"/>
              <w:rPr>
                <w:rFonts w:ascii="Calibri" w:hAnsi="Calibri" w:cs="Arial"/>
                <w:b/>
                <w:sz w:val="32"/>
                <w:szCs w:val="36"/>
              </w:rPr>
            </w:pPr>
          </w:p>
        </w:tc>
      </w:tr>
      <w:tr w:rsidR="007A3591" w:rsidRPr="00094707" w14:paraId="460A0DB6" w14:textId="77777777" w:rsidTr="0002110D">
        <w:trPr>
          <w:cantSplit/>
          <w:trHeight w:val="3054"/>
        </w:trPr>
        <w:tc>
          <w:tcPr>
            <w:tcW w:w="1768" w:type="pct"/>
          </w:tcPr>
          <w:p w14:paraId="13EEB67E" w14:textId="77777777" w:rsidR="007A3591" w:rsidRPr="00094707" w:rsidRDefault="007A3591" w:rsidP="0002110D">
            <w:pPr>
              <w:jc w:val="center"/>
              <w:rPr>
                <w:rFonts w:ascii="Calibri" w:hAnsi="Calibri" w:cs="Arial"/>
                <w:b/>
                <w:sz w:val="32"/>
                <w:szCs w:val="36"/>
              </w:rPr>
            </w:pPr>
          </w:p>
        </w:tc>
        <w:tc>
          <w:tcPr>
            <w:tcW w:w="926" w:type="pct"/>
            <w:textDirection w:val="tbRl"/>
          </w:tcPr>
          <w:p w14:paraId="47DBBFC3" w14:textId="77777777" w:rsidR="007A3591" w:rsidRPr="00094707" w:rsidRDefault="00E7646E" w:rsidP="00E7646E">
            <w:pPr>
              <w:ind w:left="113" w:right="113"/>
              <w:jc w:val="center"/>
              <w:rPr>
                <w:rFonts w:ascii="Arial" w:hAnsi="Arial" w:cs="Arial"/>
                <w:sz w:val="28"/>
                <w:szCs w:val="28"/>
              </w:rPr>
            </w:pPr>
            <w:r>
              <w:rPr>
                <w:rFonts w:ascii="Arial" w:hAnsi="Arial" w:cs="Arial"/>
                <w:sz w:val="28"/>
                <w:szCs w:val="28"/>
              </w:rPr>
              <w:t>X programme</w:t>
            </w:r>
          </w:p>
        </w:tc>
        <w:tc>
          <w:tcPr>
            <w:tcW w:w="1048" w:type="pct"/>
            <w:textDirection w:val="tbRl"/>
          </w:tcPr>
          <w:p w14:paraId="54587A53" w14:textId="77777777" w:rsidR="007A3591" w:rsidRPr="00094707" w:rsidRDefault="007A3591" w:rsidP="0002110D">
            <w:pPr>
              <w:ind w:left="113" w:right="113"/>
              <w:jc w:val="center"/>
              <w:rPr>
                <w:rFonts w:ascii="Arial" w:hAnsi="Arial" w:cs="Arial"/>
                <w:sz w:val="28"/>
                <w:szCs w:val="28"/>
              </w:rPr>
            </w:pPr>
            <w:r w:rsidRPr="00094707">
              <w:rPr>
                <w:rFonts w:ascii="Arial" w:hAnsi="Arial" w:cs="Arial"/>
                <w:sz w:val="28"/>
                <w:szCs w:val="28"/>
              </w:rPr>
              <w:t>Average on 8 programmes</w:t>
            </w:r>
          </w:p>
        </w:tc>
        <w:tc>
          <w:tcPr>
            <w:tcW w:w="1258" w:type="pct"/>
            <w:textDirection w:val="tbRl"/>
          </w:tcPr>
          <w:p w14:paraId="61599DDD" w14:textId="77777777" w:rsidR="007A3591" w:rsidRPr="00094707" w:rsidRDefault="007A3591" w:rsidP="0002110D">
            <w:pPr>
              <w:ind w:left="113" w:right="113"/>
              <w:jc w:val="center"/>
              <w:rPr>
                <w:rFonts w:ascii="Arial" w:hAnsi="Arial" w:cs="Arial"/>
                <w:sz w:val="28"/>
                <w:szCs w:val="28"/>
              </w:rPr>
            </w:pPr>
            <w:r w:rsidRPr="00094707">
              <w:rPr>
                <w:rFonts w:ascii="Arial" w:hAnsi="Arial" w:cs="Arial"/>
                <w:sz w:val="28"/>
                <w:szCs w:val="28"/>
              </w:rPr>
              <w:t>Range over 8 programmes</w:t>
            </w:r>
          </w:p>
        </w:tc>
      </w:tr>
      <w:tr w:rsidR="007A3591" w:rsidRPr="00094707" w14:paraId="744E67E9" w14:textId="77777777" w:rsidTr="0002110D">
        <w:trPr>
          <w:trHeight w:val="332"/>
        </w:trPr>
        <w:tc>
          <w:tcPr>
            <w:tcW w:w="1768" w:type="pct"/>
          </w:tcPr>
          <w:p w14:paraId="0ABCE493"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Total assessments</w:t>
            </w:r>
          </w:p>
        </w:tc>
        <w:tc>
          <w:tcPr>
            <w:tcW w:w="926" w:type="pct"/>
          </w:tcPr>
          <w:p w14:paraId="0B998CA2"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52</w:t>
            </w:r>
          </w:p>
        </w:tc>
        <w:tc>
          <w:tcPr>
            <w:tcW w:w="1048" w:type="pct"/>
          </w:tcPr>
          <w:p w14:paraId="1CB4E34B"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43</w:t>
            </w:r>
          </w:p>
        </w:tc>
        <w:tc>
          <w:tcPr>
            <w:tcW w:w="1258" w:type="pct"/>
            <w:vAlign w:val="center"/>
          </w:tcPr>
          <w:p w14:paraId="62806FD0"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32 – 63</w:t>
            </w:r>
          </w:p>
        </w:tc>
      </w:tr>
      <w:tr w:rsidR="007A3591" w:rsidRPr="00094707" w14:paraId="4C144416" w14:textId="77777777" w:rsidTr="0002110D">
        <w:trPr>
          <w:trHeight w:val="361"/>
        </w:trPr>
        <w:tc>
          <w:tcPr>
            <w:tcW w:w="1768" w:type="pct"/>
          </w:tcPr>
          <w:p w14:paraId="7EF53E51"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Summative</w:t>
            </w:r>
          </w:p>
        </w:tc>
        <w:tc>
          <w:tcPr>
            <w:tcW w:w="926" w:type="pct"/>
          </w:tcPr>
          <w:p w14:paraId="2164A030"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49</w:t>
            </w:r>
          </w:p>
        </w:tc>
        <w:tc>
          <w:tcPr>
            <w:tcW w:w="1048" w:type="pct"/>
          </w:tcPr>
          <w:p w14:paraId="2C622788"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36</w:t>
            </w:r>
          </w:p>
        </w:tc>
        <w:tc>
          <w:tcPr>
            <w:tcW w:w="1258" w:type="pct"/>
            <w:vAlign w:val="center"/>
          </w:tcPr>
          <w:p w14:paraId="4C935AEE"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26 – 52</w:t>
            </w:r>
          </w:p>
        </w:tc>
      </w:tr>
      <w:tr w:rsidR="007A3591" w:rsidRPr="00094707" w14:paraId="22C8DD14" w14:textId="77777777" w:rsidTr="0002110D">
        <w:trPr>
          <w:trHeight w:val="332"/>
        </w:trPr>
        <w:tc>
          <w:tcPr>
            <w:tcW w:w="1768" w:type="pct"/>
          </w:tcPr>
          <w:p w14:paraId="4084E1D9"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Formative</w:t>
            </w:r>
          </w:p>
        </w:tc>
        <w:tc>
          <w:tcPr>
            <w:tcW w:w="926" w:type="pct"/>
          </w:tcPr>
          <w:p w14:paraId="44D92437"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3</w:t>
            </w:r>
          </w:p>
        </w:tc>
        <w:tc>
          <w:tcPr>
            <w:tcW w:w="1048" w:type="pct"/>
          </w:tcPr>
          <w:p w14:paraId="594F1869"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7</w:t>
            </w:r>
          </w:p>
        </w:tc>
        <w:tc>
          <w:tcPr>
            <w:tcW w:w="1258" w:type="pct"/>
            <w:vAlign w:val="center"/>
          </w:tcPr>
          <w:p w14:paraId="4A686A75" w14:textId="77777777" w:rsidR="007A3591" w:rsidRPr="00094707" w:rsidRDefault="007A3591" w:rsidP="0002110D">
            <w:pPr>
              <w:pStyle w:val="ListParagraph"/>
              <w:ind w:left="0"/>
              <w:jc w:val="center"/>
              <w:rPr>
                <w:rFonts w:ascii="Calibri" w:hAnsi="Calibri" w:cs="Arial"/>
                <w:sz w:val="32"/>
                <w:szCs w:val="36"/>
              </w:rPr>
            </w:pPr>
            <w:r w:rsidRPr="00094707">
              <w:rPr>
                <w:rFonts w:ascii="Calibri" w:hAnsi="Calibri" w:cs="Arial"/>
                <w:sz w:val="32"/>
                <w:szCs w:val="36"/>
              </w:rPr>
              <w:t>0 – 19</w:t>
            </w:r>
          </w:p>
        </w:tc>
      </w:tr>
      <w:tr w:rsidR="007A3591" w:rsidRPr="00094707" w14:paraId="3618A08D" w14:textId="77777777" w:rsidTr="0002110D">
        <w:trPr>
          <w:trHeight w:val="361"/>
        </w:trPr>
        <w:tc>
          <w:tcPr>
            <w:tcW w:w="1768" w:type="pct"/>
          </w:tcPr>
          <w:p w14:paraId="0ED60230"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Variety</w:t>
            </w:r>
          </w:p>
        </w:tc>
        <w:tc>
          <w:tcPr>
            <w:tcW w:w="926" w:type="pct"/>
          </w:tcPr>
          <w:p w14:paraId="431EAE93"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13</w:t>
            </w:r>
          </w:p>
        </w:tc>
        <w:tc>
          <w:tcPr>
            <w:tcW w:w="1048" w:type="pct"/>
          </w:tcPr>
          <w:p w14:paraId="0B1C0DA7"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13</w:t>
            </w:r>
          </w:p>
        </w:tc>
        <w:tc>
          <w:tcPr>
            <w:tcW w:w="1258" w:type="pct"/>
            <w:vAlign w:val="center"/>
          </w:tcPr>
          <w:p w14:paraId="4E4487C0"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7 – 17</w:t>
            </w:r>
          </w:p>
        </w:tc>
      </w:tr>
      <w:tr w:rsidR="007A3591" w:rsidRPr="00094707" w14:paraId="7393C155" w14:textId="77777777" w:rsidTr="0002110D">
        <w:trPr>
          <w:trHeight w:val="332"/>
        </w:trPr>
        <w:tc>
          <w:tcPr>
            <w:tcW w:w="1768" w:type="pct"/>
          </w:tcPr>
          <w:p w14:paraId="69D405DB"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Exam %</w:t>
            </w:r>
          </w:p>
        </w:tc>
        <w:tc>
          <w:tcPr>
            <w:tcW w:w="926" w:type="pct"/>
          </w:tcPr>
          <w:p w14:paraId="05F18B16"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26.5%</w:t>
            </w:r>
          </w:p>
        </w:tc>
        <w:tc>
          <w:tcPr>
            <w:tcW w:w="1048" w:type="pct"/>
          </w:tcPr>
          <w:p w14:paraId="1E718D62"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13.8%</w:t>
            </w:r>
          </w:p>
        </w:tc>
        <w:tc>
          <w:tcPr>
            <w:tcW w:w="1258" w:type="pct"/>
            <w:vAlign w:val="center"/>
          </w:tcPr>
          <w:p w14:paraId="05499989"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3% - 34%</w:t>
            </w:r>
          </w:p>
        </w:tc>
      </w:tr>
      <w:tr w:rsidR="007A3591" w:rsidRPr="00094707" w14:paraId="2FC25127" w14:textId="77777777" w:rsidTr="0002110D">
        <w:trPr>
          <w:trHeight w:val="332"/>
        </w:trPr>
        <w:tc>
          <w:tcPr>
            <w:tcW w:w="1768" w:type="pct"/>
          </w:tcPr>
          <w:p w14:paraId="066CCC4C"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Timeliness</w:t>
            </w:r>
          </w:p>
        </w:tc>
        <w:tc>
          <w:tcPr>
            <w:tcW w:w="926" w:type="pct"/>
          </w:tcPr>
          <w:p w14:paraId="16E6412D"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14</w:t>
            </w:r>
          </w:p>
        </w:tc>
        <w:tc>
          <w:tcPr>
            <w:tcW w:w="1048" w:type="pct"/>
          </w:tcPr>
          <w:p w14:paraId="1A5F0C5A"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22 days</w:t>
            </w:r>
          </w:p>
        </w:tc>
        <w:tc>
          <w:tcPr>
            <w:tcW w:w="1258" w:type="pct"/>
            <w:vAlign w:val="center"/>
          </w:tcPr>
          <w:p w14:paraId="4B69AA97"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17 – 28 days</w:t>
            </w:r>
          </w:p>
        </w:tc>
      </w:tr>
      <w:tr w:rsidR="007A3591" w:rsidRPr="00094707" w14:paraId="60CA3740" w14:textId="77777777" w:rsidTr="0002110D">
        <w:trPr>
          <w:trHeight w:val="361"/>
        </w:trPr>
        <w:tc>
          <w:tcPr>
            <w:tcW w:w="1768" w:type="pct"/>
          </w:tcPr>
          <w:p w14:paraId="4CB00708"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Oral feedback</w:t>
            </w:r>
            <w:r w:rsidRPr="00094707">
              <w:rPr>
                <w:rStyle w:val="FootnoteReference"/>
                <w:rFonts w:ascii="Calibri" w:hAnsi="Calibri" w:cs="Arial"/>
                <w:b/>
                <w:sz w:val="32"/>
                <w:szCs w:val="36"/>
              </w:rPr>
              <w:footnoteReference w:id="5"/>
            </w:r>
          </w:p>
        </w:tc>
        <w:tc>
          <w:tcPr>
            <w:tcW w:w="926" w:type="pct"/>
          </w:tcPr>
          <w:p w14:paraId="180A8AC9"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58.5 mins</w:t>
            </w:r>
          </w:p>
        </w:tc>
        <w:tc>
          <w:tcPr>
            <w:tcW w:w="1048" w:type="pct"/>
          </w:tcPr>
          <w:p w14:paraId="677B026E"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7 hrs 42 mins</w:t>
            </w:r>
          </w:p>
        </w:tc>
        <w:tc>
          <w:tcPr>
            <w:tcW w:w="1258" w:type="pct"/>
            <w:vAlign w:val="center"/>
          </w:tcPr>
          <w:p w14:paraId="751925C0"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37 mins to 30 hours</w:t>
            </w:r>
          </w:p>
        </w:tc>
      </w:tr>
      <w:tr w:rsidR="007A3591" w:rsidRPr="00094707" w14:paraId="1DB5E99A" w14:textId="77777777" w:rsidTr="0002110D">
        <w:trPr>
          <w:trHeight w:val="361"/>
        </w:trPr>
        <w:tc>
          <w:tcPr>
            <w:tcW w:w="1768" w:type="pct"/>
          </w:tcPr>
          <w:p w14:paraId="48B67FDF" w14:textId="77777777" w:rsidR="007A3591" w:rsidRPr="00094707" w:rsidRDefault="007A3591" w:rsidP="0002110D">
            <w:pPr>
              <w:rPr>
                <w:rFonts w:ascii="Calibri" w:hAnsi="Calibri" w:cs="Arial"/>
                <w:b/>
                <w:sz w:val="32"/>
                <w:szCs w:val="36"/>
              </w:rPr>
            </w:pPr>
            <w:r w:rsidRPr="00094707">
              <w:rPr>
                <w:rFonts w:ascii="Calibri" w:hAnsi="Calibri" w:cs="Arial"/>
                <w:b/>
                <w:sz w:val="32"/>
                <w:szCs w:val="36"/>
              </w:rPr>
              <w:t>Written</w:t>
            </w:r>
          </w:p>
        </w:tc>
        <w:tc>
          <w:tcPr>
            <w:tcW w:w="926" w:type="pct"/>
          </w:tcPr>
          <w:p w14:paraId="1C545DE3"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7527</w:t>
            </w:r>
          </w:p>
          <w:p w14:paraId="6BA29911"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words</w:t>
            </w:r>
          </w:p>
        </w:tc>
        <w:tc>
          <w:tcPr>
            <w:tcW w:w="1048" w:type="pct"/>
          </w:tcPr>
          <w:p w14:paraId="57D70594"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7,403 words</w:t>
            </w:r>
          </w:p>
        </w:tc>
        <w:tc>
          <w:tcPr>
            <w:tcW w:w="1258" w:type="pct"/>
            <w:vAlign w:val="center"/>
          </w:tcPr>
          <w:p w14:paraId="6EFDE7E3" w14:textId="77777777" w:rsidR="007A3591" w:rsidRPr="00094707" w:rsidRDefault="007A3591" w:rsidP="0002110D">
            <w:pPr>
              <w:jc w:val="center"/>
              <w:rPr>
                <w:rFonts w:ascii="Calibri" w:hAnsi="Calibri" w:cs="Arial"/>
                <w:sz w:val="32"/>
                <w:szCs w:val="36"/>
              </w:rPr>
            </w:pPr>
            <w:r w:rsidRPr="00094707">
              <w:rPr>
                <w:rFonts w:ascii="Calibri" w:hAnsi="Calibri" w:cs="Arial"/>
                <w:sz w:val="32"/>
                <w:szCs w:val="36"/>
              </w:rPr>
              <w:t>2,985 - 15,412</w:t>
            </w:r>
          </w:p>
        </w:tc>
      </w:tr>
    </w:tbl>
    <w:p w14:paraId="66CF6F6B" w14:textId="77777777" w:rsidR="007A3591" w:rsidRDefault="007A3591"/>
    <w:sectPr w:rsidR="007A3591" w:rsidSect="00F246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CF15E" w14:textId="77777777" w:rsidR="00617F07" w:rsidRDefault="00617F07" w:rsidP="00395F28">
      <w:r>
        <w:separator/>
      </w:r>
    </w:p>
  </w:endnote>
  <w:endnote w:type="continuationSeparator" w:id="0">
    <w:p w14:paraId="7792A756" w14:textId="77777777" w:rsidR="00617F07" w:rsidRDefault="00617F07" w:rsidP="0039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61E02" w14:textId="77777777" w:rsidR="00617F07" w:rsidRDefault="00617F07" w:rsidP="00395F28">
      <w:r>
        <w:separator/>
      </w:r>
    </w:p>
  </w:footnote>
  <w:footnote w:type="continuationSeparator" w:id="0">
    <w:p w14:paraId="6F0CF082" w14:textId="77777777" w:rsidR="00617F07" w:rsidRDefault="00617F07" w:rsidP="00395F28">
      <w:r>
        <w:continuationSeparator/>
      </w:r>
    </w:p>
  </w:footnote>
  <w:footnote w:id="1">
    <w:p w14:paraId="2D08DE1E" w14:textId="77777777" w:rsidR="00395F28" w:rsidRDefault="00395F28" w:rsidP="00395F28">
      <w:pPr>
        <w:pStyle w:val="FootnoteText"/>
      </w:pPr>
      <w:r>
        <w:rPr>
          <w:rStyle w:val="FootnoteReference"/>
        </w:rPr>
        <w:footnoteRef/>
      </w:r>
      <w:r>
        <w:t xml:space="preserve"> </w:t>
      </w:r>
      <w:r>
        <w:rPr>
          <w:u w:val="single"/>
        </w:rPr>
        <w:t>1</w:t>
      </w:r>
      <w:r>
        <w:rPr>
          <w:u w:val="single"/>
          <w:vertAlign w:val="superscript"/>
        </w:rPr>
        <w:t>st</w:t>
      </w:r>
      <w:r>
        <w:rPr>
          <w:u w:val="single"/>
        </w:rPr>
        <w:t xml:space="preserve"> Year:</w:t>
      </w:r>
      <w:r w:rsidR="002E7E98">
        <w:t xml:space="preserve"> X</w:t>
      </w:r>
      <w:r>
        <w:t xml:space="preserve"> 105 = 30 mins per student (averaged between three convenors, proportion of attendees, volume of time x number of assessments); rest of first year: 5% of students on a weekly basis for 10 mins (10 x 24 weeks = 240 minutes x 5% of 250 students: (10 x 24 x 12.5) = 3000/250 = 12 mins per student average). </w:t>
      </w:r>
      <w:r>
        <w:rPr>
          <w:u w:val="single"/>
        </w:rPr>
        <w:t>Typical first year = 30 + 12 = 42 minutes</w:t>
      </w:r>
      <w:r>
        <w:br/>
      </w:r>
      <w:r>
        <w:rPr>
          <w:u w:val="single"/>
        </w:rPr>
        <w:t>2</w:t>
      </w:r>
      <w:r>
        <w:rPr>
          <w:u w:val="single"/>
          <w:vertAlign w:val="superscript"/>
        </w:rPr>
        <w:t>nd</w:t>
      </w:r>
      <w:r>
        <w:rPr>
          <w:u w:val="single"/>
        </w:rPr>
        <w:t xml:space="preserve"> Year:</w:t>
      </w:r>
      <w:r>
        <w:t xml:space="preserve"> </w:t>
      </w:r>
      <w:r>
        <w:rPr>
          <w:b/>
        </w:rPr>
        <w:t>Convenor 1:</w:t>
      </w:r>
      <w:r>
        <w:t xml:space="preserve"> 7% of students x 2 occurrences x 10 mins = 9 x 2 x 10 = 180 divided by 120 students = 1.5 mins per student. </w:t>
      </w:r>
      <w:r>
        <w:rPr>
          <w:b/>
        </w:rPr>
        <w:t>Convenor 2:</w:t>
      </w:r>
      <w:r>
        <w:t xml:space="preserve"> 7.5% of students x 20 minutes = 150 minutes/60 students in seminar groups = 2.5 minutes per student. </w:t>
      </w:r>
      <w:r>
        <w:rPr>
          <w:b/>
        </w:rPr>
        <w:t>Convenor 3:</w:t>
      </w:r>
      <w:r>
        <w:t xml:space="preserve"> 7.5% of students x 7.5 minutes = 56 minutes/35 students in seminar groups = 1.5 minutes per student. </w:t>
      </w:r>
      <w:r>
        <w:rPr>
          <w:u w:val="single"/>
        </w:rPr>
        <w:t>Typical second year = 1.5 + 2.5 + 1.5 = 5.5 mins x 4 modules/3 convenors = 7.5 minutes per student.</w:t>
      </w:r>
      <w:r>
        <w:br/>
        <w:t>3</w:t>
      </w:r>
      <w:r>
        <w:rPr>
          <w:vertAlign w:val="superscript"/>
        </w:rPr>
        <w:t>rd</w:t>
      </w:r>
      <w:r>
        <w:t xml:space="preserve"> Year: </w:t>
      </w:r>
      <w:r>
        <w:rPr>
          <w:u w:val="single"/>
        </w:rPr>
        <w:t>Convenor 1</w:t>
      </w:r>
      <w:r>
        <w:t xml:space="preserve"> = 7% of students x 2 occurrences x 10 mins = 9 x 2 x 10 = 180 divided by 120 students = 1.5 mins per student. </w:t>
      </w:r>
      <w:r>
        <w:rPr>
          <w:u w:val="single"/>
        </w:rPr>
        <w:t>Convenor 2</w:t>
      </w:r>
      <w:r>
        <w:t xml:space="preserve"> = no third year students; </w:t>
      </w:r>
      <w:r>
        <w:rPr>
          <w:u w:val="single"/>
        </w:rPr>
        <w:t xml:space="preserve">Convenor 3 </w:t>
      </w:r>
      <w:r>
        <w:t xml:space="preserve">= no third years. </w:t>
      </w:r>
      <w:r>
        <w:rPr>
          <w:u w:val="single"/>
        </w:rPr>
        <w:t>Typical third year = (1.5 mins x 2 x 30 credit modules) + (1.5 mins x 4 x 15 credit modules) = 9 minutes</w:t>
      </w:r>
    </w:p>
  </w:footnote>
  <w:footnote w:id="2">
    <w:p w14:paraId="483DFD77" w14:textId="77777777" w:rsidR="00395F28" w:rsidRDefault="00395F28" w:rsidP="00395F28">
      <w:pPr>
        <w:pStyle w:val="FootnoteText"/>
      </w:pPr>
      <w:r>
        <w:rPr>
          <w:rStyle w:val="FootnoteReference"/>
        </w:rPr>
        <w:footnoteRef/>
      </w:r>
      <w:r>
        <w:t xml:space="preserve"> Appendix A shows</w:t>
      </w:r>
      <w:r w:rsidR="002E7E98">
        <w:t xml:space="preserve"> X</w:t>
      </w:r>
      <w:r>
        <w:t xml:space="preserve"> audit in relation to 8 TESTA programmes.</w:t>
      </w:r>
    </w:p>
  </w:footnote>
  <w:footnote w:id="3">
    <w:p w14:paraId="0D318C89" w14:textId="77777777" w:rsidR="00395F28" w:rsidRDefault="00395F28" w:rsidP="00395F28">
      <w:pPr>
        <w:pStyle w:val="FootnoteText"/>
      </w:pPr>
      <w:r>
        <w:rPr>
          <w:rStyle w:val="FootnoteReference"/>
        </w:rPr>
        <w:footnoteRef/>
      </w:r>
      <w:r>
        <w:t xml:space="preserve"> The sample counted was from a batch of 500 word policy briefs, which probably elicit fewer words in the feedback comments.  Given that about one third of assessments are tasks comprising fewer than 1,000 words, this is broadly representative over three years, but not a particular feature of third year.</w:t>
      </w:r>
    </w:p>
  </w:footnote>
  <w:footnote w:id="4">
    <w:p w14:paraId="40E91021" w14:textId="77777777" w:rsidR="00395F28" w:rsidRDefault="00395F28" w:rsidP="00395F28">
      <w:pPr>
        <w:pStyle w:val="FootnoteText"/>
      </w:pPr>
      <w:r>
        <w:rPr>
          <w:rStyle w:val="FootnoteReference"/>
        </w:rPr>
        <w:footnoteRef/>
      </w:r>
      <w:r>
        <w:t xml:space="preserve"> The average for each year is added up (112 + 395+ 74 = 581) divided by 3 to get an average across the years (193); multiplied by number of tasks eliciting feedback (summative + formative – exams) = (52 – 13) x 193 = 7527.</w:t>
      </w:r>
    </w:p>
  </w:footnote>
  <w:footnote w:id="5">
    <w:p w14:paraId="481C89D8" w14:textId="77777777" w:rsidR="007A3591" w:rsidRDefault="007A3591" w:rsidP="007A3591">
      <w:pPr>
        <w:pStyle w:val="FootnoteText"/>
      </w:pPr>
      <w:r>
        <w:rPr>
          <w:rStyle w:val="FootnoteReference"/>
        </w:rPr>
        <w:footnoteRef/>
      </w:r>
      <w:r>
        <w:t xml:space="preserve"> The TESTA average for oral feedback is skewed by having two professional programmes (n=2) with very high oral feedback on placements. Without these two programmes, the average oral feedback would be closer to 3 hrs.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72D33"/>
    <w:multiLevelType w:val="hybridMultilevel"/>
    <w:tmpl w:val="84C8672A"/>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A7D13A5"/>
    <w:multiLevelType w:val="hybridMultilevel"/>
    <w:tmpl w:val="A02074B4"/>
    <w:lvl w:ilvl="0" w:tplc="0809000F">
      <w:start w:val="1"/>
      <w:numFmt w:val="decimal"/>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28"/>
    <w:rsid w:val="000D44C0"/>
    <w:rsid w:val="002E7E98"/>
    <w:rsid w:val="00395F28"/>
    <w:rsid w:val="00617F07"/>
    <w:rsid w:val="006A4F5B"/>
    <w:rsid w:val="007A3591"/>
    <w:rsid w:val="00C241AB"/>
    <w:rsid w:val="00E670A9"/>
    <w:rsid w:val="00E7646E"/>
    <w:rsid w:val="00EA2E8E"/>
    <w:rsid w:val="00EB4A9D"/>
    <w:rsid w:val="00F2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B6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5F2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95F28"/>
    <w:rPr>
      <w:sz w:val="20"/>
      <w:szCs w:val="20"/>
    </w:rPr>
  </w:style>
  <w:style w:type="character" w:customStyle="1" w:styleId="FootnoteTextChar">
    <w:name w:val="Footnote Text Char"/>
    <w:basedOn w:val="DefaultParagraphFont"/>
    <w:link w:val="FootnoteText"/>
    <w:uiPriority w:val="99"/>
    <w:rsid w:val="00395F28"/>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395F28"/>
    <w:rPr>
      <w:vertAlign w:val="superscript"/>
    </w:rPr>
  </w:style>
  <w:style w:type="paragraph" w:styleId="ListParagraph">
    <w:name w:val="List Paragraph"/>
    <w:basedOn w:val="Normal"/>
    <w:uiPriority w:val="34"/>
    <w:qFormat/>
    <w:rsid w:val="007A3591"/>
    <w:pPr>
      <w:widowControl w:val="0"/>
      <w:autoSpaceDE w:val="0"/>
      <w:autoSpaceDN w:val="0"/>
      <w:adjustRightInd w:val="0"/>
      <w:ind w:left="720"/>
      <w:contextualSpacing/>
    </w:pPr>
    <w:rPr>
      <w:rFonts w:ascii="Courier New" w:eastAsia="Times New Roman" w:hAnsi="Courier New" w:cs="Courier New"/>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1346</Words>
  <Characters>7674</Characters>
  <Application>Microsoft Macintosh Word</Application>
  <DocSecurity>0</DocSecurity>
  <Lines>63</Lines>
  <Paragraphs>18</Paragraphs>
  <ScaleCrop>false</ScaleCrop>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Hannah Watts</cp:lastModifiedBy>
  <cp:revision>2</cp:revision>
  <dcterms:created xsi:type="dcterms:W3CDTF">2018-08-15T10:47:00Z</dcterms:created>
  <dcterms:modified xsi:type="dcterms:W3CDTF">2018-08-15T10:47:00Z</dcterms:modified>
</cp:coreProperties>
</file>